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C4762C" w:rsidRDefault="00E87590" w:rsidP="00C476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C4762C">
        <w:rPr>
          <w:b/>
          <w:szCs w:val="22"/>
        </w:rPr>
        <w:t>PŘÍLOHA I</w:t>
      </w:r>
    </w:p>
    <w:p w14:paraId="50FE88E4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C4762C" w:rsidRDefault="00E87590" w:rsidP="00C4762C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C4762C">
        <w:rPr>
          <w:b/>
          <w:szCs w:val="22"/>
        </w:rPr>
        <w:t>SOUHRN ÚDAJŮ O PŘÍPRAVKU</w:t>
      </w:r>
    </w:p>
    <w:p w14:paraId="70A64732" w14:textId="77777777" w:rsidR="00C114FF" w:rsidRPr="00C4762C" w:rsidRDefault="00E87590" w:rsidP="00C4762C">
      <w:pPr>
        <w:pStyle w:val="Style1"/>
      </w:pPr>
      <w:r w:rsidRPr="00C4762C">
        <w:br w:type="page"/>
      </w:r>
      <w:r w:rsidRPr="00C4762C">
        <w:lastRenderedPageBreak/>
        <w:t>1.</w:t>
      </w:r>
      <w:r w:rsidRPr="00C4762C">
        <w:tab/>
        <w:t>NÁZEV VETERINÁRNÍHO LÉČIVÉHO PŘÍPRAVKU</w:t>
      </w:r>
    </w:p>
    <w:p w14:paraId="3606368F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5906BB1F" w14:textId="65F2B668" w:rsidR="00C114FF" w:rsidRDefault="00FB2432" w:rsidP="00C476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C4762C">
        <w:rPr>
          <w:szCs w:val="22"/>
        </w:rPr>
        <w:t>Anprociclina</w:t>
      </w:r>
      <w:proofErr w:type="spellEnd"/>
      <w:r w:rsidRPr="00C4762C">
        <w:rPr>
          <w:szCs w:val="22"/>
        </w:rPr>
        <w:t xml:space="preserve"> 200 mg/g </w:t>
      </w:r>
      <w:proofErr w:type="spellStart"/>
      <w:r w:rsidRPr="00C4762C">
        <w:rPr>
          <w:szCs w:val="22"/>
        </w:rPr>
        <w:t>premix</w:t>
      </w:r>
      <w:proofErr w:type="spellEnd"/>
      <w:r w:rsidRPr="00C4762C">
        <w:rPr>
          <w:szCs w:val="22"/>
        </w:rPr>
        <w:t xml:space="preserve"> pro medikaci krmiva</w:t>
      </w:r>
      <w:r w:rsidR="0088775F" w:rsidRPr="00C4762C">
        <w:rPr>
          <w:szCs w:val="22"/>
        </w:rPr>
        <w:t xml:space="preserve"> pro prasata</w:t>
      </w:r>
    </w:p>
    <w:p w14:paraId="2B4CAC0B" w14:textId="77777777" w:rsidR="00833935" w:rsidRPr="00C4762C" w:rsidRDefault="00833935" w:rsidP="00C4762C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C4762C" w:rsidRDefault="00E87590" w:rsidP="00C4762C">
      <w:pPr>
        <w:pStyle w:val="Style1"/>
      </w:pPr>
      <w:r w:rsidRPr="00C4762C">
        <w:t>2.</w:t>
      </w:r>
      <w:r w:rsidRPr="00C4762C">
        <w:tab/>
        <w:t>KVALITATIVNÍ A KVANTITATIVNÍ SLOŽENÍ</w:t>
      </w:r>
    </w:p>
    <w:p w14:paraId="3EAF4F83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4520DDF7" w14:textId="2209A67C" w:rsidR="008018FD" w:rsidRPr="00C4762C" w:rsidRDefault="006C2B4F" w:rsidP="00C4762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Pr="00C4762C">
        <w:rPr>
          <w:szCs w:val="22"/>
        </w:rPr>
        <w:t xml:space="preserve"> </w:t>
      </w:r>
      <w:r w:rsidR="008018FD" w:rsidRPr="00C4762C">
        <w:rPr>
          <w:szCs w:val="22"/>
        </w:rPr>
        <w:t>g obsahuje:</w:t>
      </w:r>
    </w:p>
    <w:p w14:paraId="4F358A06" w14:textId="77777777" w:rsidR="008018FD" w:rsidRPr="00C4762C" w:rsidRDefault="008018FD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68A2BBB" w14:textId="5EB60617" w:rsidR="00C114FF" w:rsidRPr="00C4762C" w:rsidRDefault="00E87590" w:rsidP="00C4762C">
      <w:pPr>
        <w:tabs>
          <w:tab w:val="clear" w:pos="567"/>
        </w:tabs>
        <w:spacing w:line="240" w:lineRule="auto"/>
        <w:rPr>
          <w:b/>
          <w:szCs w:val="22"/>
        </w:rPr>
      </w:pPr>
      <w:r w:rsidRPr="00C4762C">
        <w:rPr>
          <w:b/>
          <w:szCs w:val="22"/>
        </w:rPr>
        <w:t>Léčivé látky:</w:t>
      </w:r>
    </w:p>
    <w:p w14:paraId="5DBC8849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18D391F" w14:textId="6744976B" w:rsidR="008018FD" w:rsidRPr="00C4762C" w:rsidRDefault="008018FD" w:rsidP="00C4762C">
      <w:pPr>
        <w:tabs>
          <w:tab w:val="clear" w:pos="567"/>
        </w:tabs>
        <w:spacing w:line="240" w:lineRule="auto"/>
        <w:rPr>
          <w:bCs/>
          <w:szCs w:val="22"/>
        </w:rPr>
      </w:pPr>
      <w:proofErr w:type="spellStart"/>
      <w:r w:rsidRPr="00C4762C">
        <w:rPr>
          <w:bCs/>
          <w:szCs w:val="22"/>
        </w:rPr>
        <w:t>Oxytetracyclinum</w:t>
      </w:r>
      <w:proofErr w:type="spellEnd"/>
      <w:r w:rsidRPr="00C4762C">
        <w:rPr>
          <w:bCs/>
          <w:szCs w:val="22"/>
        </w:rPr>
        <w:t xml:space="preserve"> (</w:t>
      </w:r>
      <w:r w:rsidR="006C2B4F">
        <w:rPr>
          <w:bCs/>
          <w:szCs w:val="22"/>
        </w:rPr>
        <w:t>jako</w:t>
      </w:r>
      <w:r w:rsidR="006C2B4F" w:rsidRPr="00C4762C">
        <w:rPr>
          <w:bCs/>
          <w:szCs w:val="22"/>
        </w:rPr>
        <w:t xml:space="preserve"> </w:t>
      </w:r>
      <w:proofErr w:type="spellStart"/>
      <w:r w:rsidRPr="00C4762C">
        <w:rPr>
          <w:bCs/>
          <w:szCs w:val="22"/>
        </w:rPr>
        <w:t>dihydricum</w:t>
      </w:r>
      <w:proofErr w:type="spellEnd"/>
      <w:r w:rsidRPr="00C4762C">
        <w:rPr>
          <w:bCs/>
          <w:szCs w:val="22"/>
        </w:rPr>
        <w:t>) 200 mg</w:t>
      </w:r>
    </w:p>
    <w:p w14:paraId="43EC891E" w14:textId="77777777" w:rsidR="008018FD" w:rsidRPr="00C4762C" w:rsidRDefault="008018FD" w:rsidP="00C4762C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32373841" w:rsidR="00C114FF" w:rsidRPr="00C4762C" w:rsidRDefault="00E87590" w:rsidP="00C4762C">
      <w:pPr>
        <w:tabs>
          <w:tab w:val="clear" w:pos="567"/>
        </w:tabs>
        <w:spacing w:line="240" w:lineRule="auto"/>
        <w:rPr>
          <w:szCs w:val="22"/>
        </w:rPr>
      </w:pPr>
      <w:r w:rsidRPr="00C4762C">
        <w:rPr>
          <w:b/>
          <w:szCs w:val="22"/>
        </w:rPr>
        <w:t>Pomocné látky:</w:t>
      </w:r>
    </w:p>
    <w:p w14:paraId="13C45036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8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6"/>
      </w:tblGrid>
      <w:tr w:rsidR="00F11787" w:rsidRPr="00C4762C" w14:paraId="1C77D6AB" w14:textId="77777777" w:rsidTr="006041FC">
        <w:trPr>
          <w:trHeight w:val="635"/>
        </w:trPr>
        <w:tc>
          <w:tcPr>
            <w:tcW w:w="8466" w:type="dxa"/>
            <w:vAlign w:val="center"/>
          </w:tcPr>
          <w:p w14:paraId="7D3CB1A4" w14:textId="77777777" w:rsidR="00F11787" w:rsidRPr="00C4762C" w:rsidRDefault="00F11787" w:rsidP="00C4762C">
            <w:pPr>
              <w:spacing w:line="240" w:lineRule="auto"/>
              <w:rPr>
                <w:b/>
                <w:bCs/>
                <w:iCs/>
                <w:szCs w:val="22"/>
              </w:rPr>
            </w:pPr>
            <w:r w:rsidRPr="00C4762C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F11787" w:rsidRPr="00C4762C" w14:paraId="26FDDAAB" w14:textId="77777777" w:rsidTr="006041FC">
        <w:trPr>
          <w:trHeight w:val="373"/>
        </w:trPr>
        <w:tc>
          <w:tcPr>
            <w:tcW w:w="8466" w:type="dxa"/>
            <w:vAlign w:val="center"/>
          </w:tcPr>
          <w:p w14:paraId="3C731BCA" w14:textId="77777777" w:rsidR="00F11787" w:rsidRPr="00C4762C" w:rsidRDefault="00F11787" w:rsidP="00C4762C">
            <w:pPr>
              <w:spacing w:line="240" w:lineRule="auto"/>
              <w:ind w:left="567" w:hanging="567"/>
              <w:rPr>
                <w:iCs/>
                <w:szCs w:val="22"/>
              </w:rPr>
            </w:pPr>
            <w:r w:rsidRPr="00C4762C">
              <w:rPr>
                <w:iCs/>
                <w:szCs w:val="22"/>
              </w:rPr>
              <w:t>Kukuřičné otruby</w:t>
            </w:r>
          </w:p>
        </w:tc>
      </w:tr>
    </w:tbl>
    <w:p w14:paraId="38F51D2A" w14:textId="77777777" w:rsidR="00872C48" w:rsidRPr="00C4762C" w:rsidRDefault="00872C48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4E63B67" w14:textId="3770E9EE" w:rsidR="008018FD" w:rsidRDefault="008018FD" w:rsidP="00C4762C">
      <w:pPr>
        <w:tabs>
          <w:tab w:val="clear" w:pos="567"/>
        </w:tabs>
        <w:spacing w:line="240" w:lineRule="auto"/>
        <w:rPr>
          <w:szCs w:val="22"/>
        </w:rPr>
      </w:pPr>
      <w:r w:rsidRPr="00C4762C">
        <w:rPr>
          <w:szCs w:val="22"/>
        </w:rPr>
        <w:t>Hnědý granulovaný prášek</w:t>
      </w:r>
      <w:r w:rsidR="00C12E85" w:rsidRPr="00C4762C">
        <w:rPr>
          <w:szCs w:val="22"/>
        </w:rPr>
        <w:t>.</w:t>
      </w:r>
    </w:p>
    <w:p w14:paraId="01CB1154" w14:textId="77777777" w:rsidR="00833935" w:rsidRPr="00C4762C" w:rsidRDefault="00833935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C4762C" w:rsidRDefault="00E87590" w:rsidP="00C4762C">
      <w:pPr>
        <w:pStyle w:val="Style1"/>
      </w:pPr>
      <w:r w:rsidRPr="00C4762C">
        <w:t>3.</w:t>
      </w:r>
      <w:r w:rsidRPr="00C4762C">
        <w:tab/>
        <w:t>KLINICKÉ INFORMACE</w:t>
      </w:r>
    </w:p>
    <w:p w14:paraId="03304F78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F656C7B" w14:textId="77777777" w:rsidR="00C114FF" w:rsidRPr="00C4762C" w:rsidRDefault="00E87590" w:rsidP="00550E1E">
      <w:pPr>
        <w:pStyle w:val="Style1"/>
        <w:jc w:val="both"/>
      </w:pPr>
      <w:r w:rsidRPr="00C4762C">
        <w:t>3.1</w:t>
      </w:r>
      <w:r w:rsidRPr="00C4762C">
        <w:tab/>
        <w:t>Cílové druhy zvířat</w:t>
      </w:r>
    </w:p>
    <w:p w14:paraId="20FFAC3D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E1E087" w14:textId="71EBDECD" w:rsidR="008018FD" w:rsidRPr="00C4762C" w:rsidRDefault="008018F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Prasata</w:t>
      </w:r>
      <w:r w:rsidR="00560F84" w:rsidRPr="00C4762C">
        <w:rPr>
          <w:szCs w:val="22"/>
        </w:rPr>
        <w:t>.</w:t>
      </w:r>
    </w:p>
    <w:p w14:paraId="4598EBA0" w14:textId="77777777" w:rsidR="008018FD" w:rsidRPr="00C4762C" w:rsidRDefault="008018F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F6CD1" w14:textId="595DDA74" w:rsidR="00C114FF" w:rsidRPr="00C4762C" w:rsidRDefault="00E87590" w:rsidP="00550E1E">
      <w:pPr>
        <w:pStyle w:val="Style1"/>
        <w:jc w:val="both"/>
      </w:pPr>
      <w:r w:rsidRPr="00C4762C">
        <w:t>3.2</w:t>
      </w:r>
      <w:r w:rsidRPr="00C4762C">
        <w:tab/>
        <w:t xml:space="preserve">Indikace pro použití pro každý cílový druh </w:t>
      </w:r>
      <w:r w:rsidR="0043586F" w:rsidRPr="00C4762C">
        <w:t>zvířat</w:t>
      </w:r>
    </w:p>
    <w:p w14:paraId="327E3A6F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F0AD6E" w14:textId="6531F996" w:rsidR="008018FD" w:rsidRPr="00C4762C" w:rsidRDefault="00F1178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Léčba </w:t>
      </w:r>
      <w:r w:rsidR="00690EAB">
        <w:rPr>
          <w:szCs w:val="22"/>
        </w:rPr>
        <w:t>infekčních</w:t>
      </w:r>
      <w:r w:rsidRPr="00C4762C">
        <w:rPr>
          <w:szCs w:val="22"/>
        </w:rPr>
        <w:t xml:space="preserve"> onemocnění </w:t>
      </w:r>
      <w:r w:rsidR="00690EAB" w:rsidRPr="00B1730C">
        <w:rPr>
          <w:szCs w:val="22"/>
        </w:rPr>
        <w:t>respiračního a gastrointestinálního traktu</w:t>
      </w:r>
      <w:r w:rsidRPr="00C4762C">
        <w:rPr>
          <w:szCs w:val="22"/>
        </w:rPr>
        <w:t xml:space="preserve"> </w:t>
      </w:r>
      <w:r w:rsidR="00104657">
        <w:rPr>
          <w:szCs w:val="22"/>
        </w:rPr>
        <w:t>vyvolaných</w:t>
      </w:r>
      <w:r w:rsidR="00AB1DB1">
        <w:rPr>
          <w:szCs w:val="22"/>
        </w:rPr>
        <w:t xml:space="preserve"> kmeny bakterií, jako jsou:</w:t>
      </w:r>
      <w:r w:rsidRPr="00C4762C">
        <w:rPr>
          <w:szCs w:val="22"/>
        </w:rPr>
        <w:t xml:space="preserve"> </w:t>
      </w:r>
      <w:bookmarkStart w:id="0" w:name="_Hlk233970765"/>
      <w:proofErr w:type="spellStart"/>
      <w:r w:rsidRPr="00C4762C">
        <w:rPr>
          <w:i/>
          <w:iCs/>
          <w:szCs w:val="22"/>
        </w:rPr>
        <w:t>Actinobacillus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pleuropneumoniae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Bordetella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bronchiseptica</w:t>
      </w:r>
      <w:proofErr w:type="spellEnd"/>
      <w:r w:rsidRPr="00C4762C">
        <w:rPr>
          <w:i/>
          <w:iCs/>
          <w:szCs w:val="22"/>
        </w:rPr>
        <w:t xml:space="preserve">, Clostridium </w:t>
      </w:r>
      <w:proofErr w:type="spellStart"/>
      <w:r w:rsidRPr="00C4762C">
        <w:rPr>
          <w:i/>
          <w:iCs/>
          <w:szCs w:val="22"/>
        </w:rPr>
        <w:t>perfringens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="001D3119" w:rsidRPr="001D3119">
        <w:rPr>
          <w:i/>
          <w:iCs/>
          <w:szCs w:val="22"/>
        </w:rPr>
        <w:t>Erysipelothrix</w:t>
      </w:r>
      <w:proofErr w:type="spellEnd"/>
      <w:r w:rsidR="001D3119" w:rsidRPr="001D3119">
        <w:rPr>
          <w:i/>
          <w:iCs/>
          <w:szCs w:val="22"/>
        </w:rPr>
        <w:t xml:space="preserve"> </w:t>
      </w:r>
      <w:proofErr w:type="spellStart"/>
      <w:r w:rsidR="001D3119" w:rsidRPr="001D3119">
        <w:rPr>
          <w:i/>
          <w:iCs/>
          <w:szCs w:val="22"/>
        </w:rPr>
        <w:t>rhusiopathiae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Mycobacterium</w:t>
      </w:r>
      <w:proofErr w:type="spellEnd"/>
      <w:r w:rsidR="00690EAB">
        <w:rPr>
          <w:i/>
          <w:iCs/>
          <w:szCs w:val="22"/>
        </w:rPr>
        <w:t xml:space="preserve"> </w:t>
      </w:r>
      <w:proofErr w:type="spellStart"/>
      <w:r w:rsidR="00690EAB" w:rsidRPr="00B1730C">
        <w:rPr>
          <w:iCs/>
          <w:szCs w:val="22"/>
        </w:rPr>
        <w:t>spp</w:t>
      </w:r>
      <w:proofErr w:type="spellEnd"/>
      <w:r w:rsidR="00690EAB" w:rsidRPr="00B1730C">
        <w:rPr>
          <w:iCs/>
          <w:szCs w:val="22"/>
        </w:rPr>
        <w:t>.</w:t>
      </w:r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Mycoplasma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hyopneumoniae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Pasteurella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multocida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Pseudomonas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aeruginosa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Streptococcus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suis</w:t>
      </w:r>
      <w:proofErr w:type="spellEnd"/>
      <w:r w:rsidRPr="00C4762C">
        <w:rPr>
          <w:i/>
          <w:iCs/>
          <w:szCs w:val="22"/>
        </w:rPr>
        <w:t>.</w:t>
      </w:r>
      <w:bookmarkEnd w:id="0"/>
    </w:p>
    <w:p w14:paraId="4FD5BCA2" w14:textId="77777777" w:rsidR="00F11787" w:rsidRPr="00C4762C" w:rsidRDefault="00F1178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C4762C" w:rsidRDefault="00E87590" w:rsidP="00550E1E">
      <w:pPr>
        <w:pStyle w:val="Style1"/>
        <w:jc w:val="both"/>
      </w:pPr>
      <w:r w:rsidRPr="00C4762C">
        <w:t>3.3</w:t>
      </w:r>
      <w:r w:rsidRPr="00C4762C">
        <w:tab/>
        <w:t>Kontraindikace</w:t>
      </w:r>
    </w:p>
    <w:p w14:paraId="758D96B3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4955FF6" w14:textId="607F538A" w:rsidR="00104657" w:rsidRPr="00C4762C" w:rsidRDefault="006C3B7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1" w:name="_Hlk233970806"/>
      <w:r w:rsidRPr="00C4762C">
        <w:rPr>
          <w:szCs w:val="22"/>
        </w:rPr>
        <w:t>Nepoužívat v případech přecitlivělosti na léčivou látku nebo na některou z pomocných látek.</w:t>
      </w:r>
      <w:r w:rsidRPr="00C4762C" w:rsidDel="006C3B7E">
        <w:rPr>
          <w:szCs w:val="22"/>
        </w:rPr>
        <w:t xml:space="preserve"> </w:t>
      </w:r>
      <w:bookmarkEnd w:id="1"/>
    </w:p>
    <w:p w14:paraId="3C81EB55" w14:textId="026771EA" w:rsidR="008018FD" w:rsidRPr="00C4762C" w:rsidRDefault="008018F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Nepoužívat </w:t>
      </w:r>
      <w:r w:rsidR="009C04E8" w:rsidRPr="009C04E8">
        <w:rPr>
          <w:szCs w:val="22"/>
        </w:rPr>
        <w:t>u zvířat s poruchou funkce ledvin</w:t>
      </w:r>
      <w:r w:rsidR="009F02A5">
        <w:rPr>
          <w:szCs w:val="22"/>
        </w:rPr>
        <w:t xml:space="preserve"> a jater</w:t>
      </w:r>
      <w:r w:rsidRPr="00C4762C">
        <w:rPr>
          <w:szCs w:val="22"/>
        </w:rPr>
        <w:t>.</w:t>
      </w:r>
    </w:p>
    <w:p w14:paraId="030FD04F" w14:textId="77777777" w:rsidR="008018FD" w:rsidRPr="00C4762C" w:rsidRDefault="008018F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0F6F03" w14:textId="77777777" w:rsidR="00C114FF" w:rsidRPr="00C4762C" w:rsidRDefault="00E87590" w:rsidP="00550E1E">
      <w:pPr>
        <w:pStyle w:val="Style1"/>
        <w:jc w:val="both"/>
      </w:pPr>
      <w:r w:rsidRPr="00C4762C">
        <w:t>3.4</w:t>
      </w:r>
      <w:r w:rsidRPr="00C4762C">
        <w:tab/>
        <w:t>Zvláštní upozornění</w:t>
      </w:r>
    </w:p>
    <w:p w14:paraId="0622A062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D798E15" w14:textId="633B0983" w:rsidR="00E86CEE" w:rsidRPr="00C4762C" w:rsidRDefault="008018FD" w:rsidP="00534503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2" w:name="_Hlk233970828"/>
      <w:r w:rsidRPr="00C4762C">
        <w:rPr>
          <w:szCs w:val="22"/>
        </w:rPr>
        <w:t>Nepoužívat do krmiv bohatých na vápník a hořčík.</w:t>
      </w:r>
    </w:p>
    <w:p w14:paraId="3E9D6FAF" w14:textId="5589D89A" w:rsidR="00C12E85" w:rsidRPr="00C4762C" w:rsidRDefault="00C12E85" w:rsidP="00534503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3" w:name="_Hlk233012739"/>
      <w:bookmarkEnd w:id="2"/>
      <w:r w:rsidRPr="00C4762C">
        <w:rPr>
          <w:szCs w:val="22"/>
        </w:rPr>
        <w:t>Mezi oxytetracyklinem a ostatními tetracykliny byla p</w:t>
      </w:r>
      <w:r w:rsidR="00534503">
        <w:rPr>
          <w:szCs w:val="22"/>
        </w:rPr>
        <w:t xml:space="preserve">rokázána </w:t>
      </w:r>
      <w:r w:rsidRPr="00C4762C">
        <w:rPr>
          <w:szCs w:val="22"/>
        </w:rPr>
        <w:t>zkřížená rezistence.</w:t>
      </w:r>
    </w:p>
    <w:p w14:paraId="3C90B298" w14:textId="1C9D78D9" w:rsidR="00534503" w:rsidRPr="00534503" w:rsidRDefault="00534503" w:rsidP="00B061EF">
      <w:pPr>
        <w:jc w:val="both"/>
        <w:rPr>
          <w:szCs w:val="22"/>
        </w:rPr>
      </w:pPr>
      <w:r w:rsidRPr="00534503">
        <w:rPr>
          <w:szCs w:val="22"/>
        </w:rPr>
        <w:t xml:space="preserve">V případě, kdy byla </w:t>
      </w:r>
      <w:r>
        <w:rPr>
          <w:szCs w:val="22"/>
        </w:rPr>
        <w:t xml:space="preserve">stanovením </w:t>
      </w:r>
      <w:r w:rsidRPr="00534503">
        <w:rPr>
          <w:szCs w:val="22"/>
        </w:rPr>
        <w:t>citlivosti prokázána rezistence k tetracyklinům, by použití oxytetracyklinu mělo být pečlivě zváženo z důvodu možné snížené účinnosti.</w:t>
      </w:r>
    </w:p>
    <w:bookmarkEnd w:id="3"/>
    <w:p w14:paraId="2F853BAB" w14:textId="5C049CCD" w:rsidR="008F0925" w:rsidRPr="00C4762C" w:rsidRDefault="008F0925" w:rsidP="008F0925">
      <w:pPr>
        <w:spacing w:line="240" w:lineRule="auto"/>
        <w:rPr>
          <w:szCs w:val="22"/>
        </w:rPr>
      </w:pPr>
      <w:r w:rsidRPr="00C4762C">
        <w:rPr>
          <w:szCs w:val="22"/>
        </w:rPr>
        <w:t>U prasat byl pozorován pokles imunitní odpovědi na vakcínu proti</w:t>
      </w:r>
      <w:r>
        <w:rPr>
          <w:szCs w:val="22"/>
        </w:rPr>
        <w:t xml:space="preserve"> </w:t>
      </w:r>
      <w:r w:rsidRPr="00C4762C">
        <w:rPr>
          <w:szCs w:val="22"/>
        </w:rPr>
        <w:t>července.</w:t>
      </w:r>
    </w:p>
    <w:p w14:paraId="34D6456D" w14:textId="6318B5A3" w:rsidR="007E5BA5" w:rsidRDefault="007E5BA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4CC7AC" w14:textId="77777777" w:rsidR="00C114FF" w:rsidRPr="00C4762C" w:rsidRDefault="00E87590" w:rsidP="00550E1E">
      <w:pPr>
        <w:pStyle w:val="Style1"/>
        <w:jc w:val="both"/>
      </w:pPr>
      <w:r w:rsidRPr="00C4762C">
        <w:t>3.5</w:t>
      </w:r>
      <w:r w:rsidRPr="00C4762C">
        <w:tab/>
        <w:t>Zvláštní opatření pro použití</w:t>
      </w:r>
    </w:p>
    <w:p w14:paraId="0B94D7B2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2382B5" w14:textId="77777777" w:rsidR="00C114FF" w:rsidRPr="00C4762C" w:rsidRDefault="00E87590" w:rsidP="00550E1E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C4762C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5E4A2E" w14:textId="457ED24F" w:rsidR="003A7CB8" w:rsidRPr="00C4762C" w:rsidRDefault="003A7CB8" w:rsidP="00550E1E">
      <w:pPr>
        <w:spacing w:line="240" w:lineRule="auto"/>
        <w:jc w:val="both"/>
        <w:rPr>
          <w:szCs w:val="22"/>
          <w:lang w:eastAsia="sv-SE"/>
        </w:rPr>
      </w:pPr>
      <w:r w:rsidRPr="003A7CB8">
        <w:rPr>
          <w:szCs w:val="22"/>
          <w:lang w:eastAsia="sv-SE"/>
        </w:rPr>
        <w:t>Při použití veterinárního léčivého přípravku je nutno vzít v úvahu oficiální, národní a místní pravidla antibiotické politiky.</w:t>
      </w:r>
    </w:p>
    <w:p w14:paraId="4EB798F4" w14:textId="1064D67E" w:rsidR="0088775F" w:rsidRPr="00C4762C" w:rsidRDefault="00841413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41413">
        <w:rPr>
          <w:szCs w:val="22"/>
        </w:rPr>
        <w:lastRenderedPageBreak/>
        <w:t>Příjem potravy, a tedy i medikovaného krmiva, se může v důsledku onemocnění změnit. Je proto třeba posoudit,</w:t>
      </w:r>
      <w:r w:rsidR="008018FD" w:rsidRPr="00C4762C">
        <w:rPr>
          <w:szCs w:val="22"/>
        </w:rPr>
        <w:t xml:space="preserve"> zda zvířaty bude </w:t>
      </w:r>
      <w:proofErr w:type="spellStart"/>
      <w:r w:rsidR="00C12E85" w:rsidRPr="00C4762C">
        <w:rPr>
          <w:szCs w:val="22"/>
        </w:rPr>
        <w:t>přijmuta</w:t>
      </w:r>
      <w:proofErr w:type="spellEnd"/>
      <w:r w:rsidR="00C12E85" w:rsidRPr="00C4762C">
        <w:rPr>
          <w:szCs w:val="22"/>
        </w:rPr>
        <w:t xml:space="preserve"> </w:t>
      </w:r>
      <w:r w:rsidR="008018FD" w:rsidRPr="00C4762C">
        <w:rPr>
          <w:szCs w:val="22"/>
        </w:rPr>
        <w:t>potřebná dávka léčiva s medikovaným krmivem</w:t>
      </w:r>
      <w:r>
        <w:rPr>
          <w:szCs w:val="22"/>
        </w:rPr>
        <w:t>,</w:t>
      </w:r>
      <w:r w:rsidR="008018FD" w:rsidRPr="00C4762C">
        <w:rPr>
          <w:szCs w:val="22"/>
        </w:rPr>
        <w:t xml:space="preserve"> a v</w:t>
      </w:r>
      <w:r w:rsidR="00550E1E">
        <w:rPr>
          <w:szCs w:val="22"/>
        </w:rPr>
        <w:t> </w:t>
      </w:r>
      <w:r w:rsidR="008018FD" w:rsidRPr="00C4762C">
        <w:rPr>
          <w:szCs w:val="22"/>
        </w:rPr>
        <w:t>případě</w:t>
      </w:r>
      <w:r w:rsidR="00550E1E">
        <w:rPr>
          <w:szCs w:val="22"/>
        </w:rPr>
        <w:t xml:space="preserve"> </w:t>
      </w:r>
      <w:r w:rsidR="008018FD" w:rsidRPr="00C4762C">
        <w:rPr>
          <w:szCs w:val="22"/>
        </w:rPr>
        <w:t xml:space="preserve">potřeby zvážit </w:t>
      </w:r>
      <w:r>
        <w:rPr>
          <w:szCs w:val="22"/>
        </w:rPr>
        <w:t>jiný vhodný</w:t>
      </w:r>
      <w:r w:rsidRPr="00C4762C">
        <w:rPr>
          <w:szCs w:val="22"/>
        </w:rPr>
        <w:t xml:space="preserve"> </w:t>
      </w:r>
      <w:r w:rsidR="008018FD" w:rsidRPr="00C4762C">
        <w:rPr>
          <w:szCs w:val="22"/>
        </w:rPr>
        <w:t xml:space="preserve">postup léčby. </w:t>
      </w:r>
    </w:p>
    <w:p w14:paraId="5D7AFC64" w14:textId="240ACB11" w:rsidR="0088775F" w:rsidRPr="00C4762C" w:rsidRDefault="003A7CB8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A7CB8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3A7CB8">
        <w:rPr>
          <w:szCs w:val="22"/>
        </w:rPr>
        <w:t>epizootologických</w:t>
      </w:r>
      <w:proofErr w:type="spellEnd"/>
      <w:r w:rsidRPr="003A7CB8">
        <w:rPr>
          <w:szCs w:val="22"/>
        </w:rPr>
        <w:t xml:space="preserve"> informacích a znalosti citlivosti cílových patogenů na úrovni farmy nebo na místní/regionální úrovni</w:t>
      </w:r>
      <w:r w:rsidR="0088775F" w:rsidRPr="00C4762C">
        <w:rPr>
          <w:szCs w:val="22"/>
        </w:rPr>
        <w:t>.</w:t>
      </w:r>
    </w:p>
    <w:p w14:paraId="562906B9" w14:textId="2E04BACE" w:rsidR="003A7CB8" w:rsidRDefault="003A7CB8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A7CB8">
        <w:rPr>
          <w:szCs w:val="22"/>
        </w:rPr>
        <w:t>Použití veterinárního léčivého přípravku, které je odlišné od pokynů uvedených v tomto souhrnu údajů o přípravku</w:t>
      </w:r>
      <w:r>
        <w:rPr>
          <w:szCs w:val="22"/>
        </w:rPr>
        <w:t xml:space="preserve"> (SPC)</w:t>
      </w:r>
      <w:r w:rsidRPr="003A7CB8">
        <w:rPr>
          <w:szCs w:val="22"/>
        </w:rPr>
        <w:t>, může zvýšit prevalenci původců rezistentních vůči oxytetracyklinu a snížit účinnost léčby jinými tetracykliny v důsledku možné zkřížené rezistence</w:t>
      </w:r>
      <w:r w:rsidR="008018FD" w:rsidRPr="00C4762C">
        <w:rPr>
          <w:szCs w:val="22"/>
        </w:rPr>
        <w:t xml:space="preserve">. </w:t>
      </w:r>
    </w:p>
    <w:p w14:paraId="117F609A" w14:textId="5D3C68F5" w:rsidR="00C114FF" w:rsidRPr="00C4762C" w:rsidRDefault="003A7CB8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A7CB8">
        <w:rPr>
          <w:szCs w:val="22"/>
        </w:rPr>
        <w:t>Je třeba se vyhnout opakovanému nebo dlouhodobému používání veterinárního léčivého přípravku. Za tímto účelem je třeba zlepšit management chovu, zejména omezit stresové faktory a zajistit odpovídající hygienu a účinnou dezinfekci</w:t>
      </w:r>
      <w:r w:rsidR="008018FD" w:rsidRPr="00C4762C">
        <w:rPr>
          <w:szCs w:val="22"/>
        </w:rPr>
        <w:t xml:space="preserve">. </w:t>
      </w:r>
    </w:p>
    <w:p w14:paraId="46830BAC" w14:textId="77777777" w:rsidR="0030009D" w:rsidRPr="00C4762C" w:rsidRDefault="0030009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C4762C" w:rsidRDefault="00E87590" w:rsidP="00550E1E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C4762C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D364D19" w14:textId="5789CD35" w:rsidR="00C114FF" w:rsidRDefault="008018F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Lidé se známou přecitlivělostí </w:t>
      </w:r>
      <w:r w:rsidR="00A13A7D">
        <w:rPr>
          <w:szCs w:val="22"/>
        </w:rPr>
        <w:t>na</w:t>
      </w:r>
      <w:r w:rsidRPr="00C4762C">
        <w:rPr>
          <w:szCs w:val="22"/>
        </w:rPr>
        <w:t xml:space="preserve"> léčiv</w:t>
      </w:r>
      <w:r w:rsidR="00A13A7D">
        <w:rPr>
          <w:szCs w:val="22"/>
        </w:rPr>
        <w:t>ou</w:t>
      </w:r>
      <w:r w:rsidRPr="00C4762C">
        <w:rPr>
          <w:szCs w:val="22"/>
        </w:rPr>
        <w:t xml:space="preserve"> lát</w:t>
      </w:r>
      <w:r w:rsidR="00A13A7D">
        <w:rPr>
          <w:szCs w:val="22"/>
        </w:rPr>
        <w:t>ku</w:t>
      </w:r>
      <w:r w:rsidRPr="00C4762C">
        <w:rPr>
          <w:szCs w:val="22"/>
        </w:rPr>
        <w:t xml:space="preserve"> by se měli vyhnout kontaktu s veterinárním léčivým přípravkem. Při nakládání s</w:t>
      </w:r>
      <w:r w:rsidR="00A13A7D">
        <w:rPr>
          <w:szCs w:val="22"/>
        </w:rPr>
        <w:t xml:space="preserve"> veterinárním léčivým </w:t>
      </w:r>
      <w:r w:rsidRPr="00C4762C">
        <w:rPr>
          <w:szCs w:val="22"/>
        </w:rPr>
        <w:t>přípravkem by se měly používat osobní ochranné p</w:t>
      </w:r>
      <w:r w:rsidR="00792F68">
        <w:rPr>
          <w:szCs w:val="22"/>
        </w:rPr>
        <w:t>rostředky</w:t>
      </w:r>
      <w:r w:rsidRPr="00C4762C">
        <w:rPr>
          <w:szCs w:val="22"/>
        </w:rPr>
        <w:t xml:space="preserve"> skládající se</w:t>
      </w:r>
      <w:r w:rsidR="00550E1E">
        <w:rPr>
          <w:szCs w:val="22"/>
        </w:rPr>
        <w:t xml:space="preserve"> </w:t>
      </w:r>
      <w:r w:rsidRPr="00C4762C">
        <w:rPr>
          <w:szCs w:val="22"/>
        </w:rPr>
        <w:t>z</w:t>
      </w:r>
      <w:r w:rsidR="00550E1E">
        <w:rPr>
          <w:szCs w:val="22"/>
        </w:rPr>
        <w:t> </w:t>
      </w:r>
      <w:r w:rsidRPr="00C4762C">
        <w:rPr>
          <w:szCs w:val="22"/>
        </w:rPr>
        <w:t>pracovního oblečení, ochranných brýlí a gumových či latexových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>rukavic. V</w:t>
      </w:r>
      <w:r w:rsidR="00792F68">
        <w:rPr>
          <w:szCs w:val="22"/>
        </w:rPr>
        <w:t> </w:t>
      </w:r>
      <w:r w:rsidRPr="00C4762C">
        <w:rPr>
          <w:szCs w:val="22"/>
        </w:rPr>
        <w:t xml:space="preserve">průběhu </w:t>
      </w:r>
      <w:r w:rsidR="00792F68">
        <w:rPr>
          <w:szCs w:val="22"/>
        </w:rPr>
        <w:t>podávání</w:t>
      </w:r>
      <w:r w:rsidR="00792F68" w:rsidRPr="00C4762C">
        <w:rPr>
          <w:szCs w:val="22"/>
        </w:rPr>
        <w:t xml:space="preserve"> </w:t>
      </w:r>
      <w:r w:rsidRPr="00C4762C">
        <w:rPr>
          <w:szCs w:val="22"/>
        </w:rPr>
        <w:t>nekuřte, nejezte a nepijte. Zabraňte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>kontaktu s pokožkou a očima. V případě zasažení pokožky a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 xml:space="preserve">očí opláchněte </w:t>
      </w:r>
      <w:r w:rsidR="00792F68">
        <w:rPr>
          <w:szCs w:val="22"/>
        </w:rPr>
        <w:t>nechráněnou kůži</w:t>
      </w:r>
      <w:r w:rsidRPr="00C4762C">
        <w:rPr>
          <w:szCs w:val="22"/>
        </w:rPr>
        <w:t xml:space="preserve"> velkým množstvím vody. Pokud se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>dostaví potíže, vyhledejte lékařskou pomoc a ukažte příbalovou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>informaci nebo etiketu praktickému lékaři. Po použití si</w:t>
      </w:r>
      <w:r w:rsidR="0000628C" w:rsidRPr="00C4762C">
        <w:rPr>
          <w:szCs w:val="22"/>
        </w:rPr>
        <w:t xml:space="preserve"> </w:t>
      </w:r>
      <w:r w:rsidRPr="00C4762C">
        <w:rPr>
          <w:szCs w:val="22"/>
        </w:rPr>
        <w:t>omyjte ruce vodou a mýdlem.</w:t>
      </w:r>
    </w:p>
    <w:p w14:paraId="175443C8" w14:textId="16B917AA" w:rsidR="00833935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CD9D96" w14:textId="2638F6A6" w:rsidR="00833935" w:rsidRPr="00833935" w:rsidRDefault="00833935" w:rsidP="00550E1E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833935">
        <w:rPr>
          <w:szCs w:val="22"/>
          <w:u w:val="single"/>
        </w:rPr>
        <w:t>Zvláštní opatření pro ochranu životního prostředí:</w:t>
      </w:r>
    </w:p>
    <w:p w14:paraId="725B0329" w14:textId="28953954" w:rsidR="00833935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FC501AF" w14:textId="6E107E7C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Neuplatňuje se.</w:t>
      </w:r>
    </w:p>
    <w:p w14:paraId="309A1DB9" w14:textId="77777777" w:rsidR="00295140" w:rsidRPr="00C4762C" w:rsidRDefault="0029514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0F3D673" w14:textId="5C9253E7" w:rsidR="00295140" w:rsidRPr="00C4762C" w:rsidRDefault="00E87590" w:rsidP="00B1730C">
      <w:pPr>
        <w:pStyle w:val="Style1"/>
        <w:jc w:val="both"/>
      </w:pPr>
      <w:r w:rsidRPr="00C4762C">
        <w:t>3.6</w:t>
      </w:r>
      <w:r w:rsidRPr="00C4762C">
        <w:tab/>
        <w:t>Nežádoucí účinky</w:t>
      </w:r>
    </w:p>
    <w:p w14:paraId="1D616E5A" w14:textId="3556EC45" w:rsidR="00295140" w:rsidRDefault="00295140" w:rsidP="00C4762C">
      <w:pPr>
        <w:tabs>
          <w:tab w:val="clear" w:pos="567"/>
        </w:tabs>
        <w:spacing w:line="240" w:lineRule="auto"/>
        <w:rPr>
          <w:szCs w:val="22"/>
        </w:rPr>
      </w:pPr>
    </w:p>
    <w:p w14:paraId="62B2D78D" w14:textId="0F4DCE9F" w:rsidR="008F0925" w:rsidRDefault="008F0925" w:rsidP="00C4762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 známy.</w:t>
      </w:r>
    </w:p>
    <w:p w14:paraId="36FC5333" w14:textId="77777777" w:rsidR="008F0925" w:rsidRPr="00C4762C" w:rsidRDefault="008F0925" w:rsidP="00C4762C">
      <w:pPr>
        <w:tabs>
          <w:tab w:val="clear" w:pos="567"/>
        </w:tabs>
        <w:spacing w:line="240" w:lineRule="auto"/>
        <w:rPr>
          <w:szCs w:val="22"/>
        </w:rPr>
      </w:pPr>
    </w:p>
    <w:p w14:paraId="012CF715" w14:textId="77777777" w:rsidR="0030009D" w:rsidRPr="00C4762C" w:rsidRDefault="0030009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Podrobné kontaktní údaje naleznete na vnitřním obalu.</w:t>
      </w:r>
    </w:p>
    <w:p w14:paraId="4074CE64" w14:textId="77777777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72CD533" w14:textId="77777777" w:rsidR="00C114FF" w:rsidRPr="00C4762C" w:rsidRDefault="00E87590" w:rsidP="00550E1E">
      <w:pPr>
        <w:pStyle w:val="Style1"/>
        <w:jc w:val="both"/>
      </w:pPr>
      <w:r w:rsidRPr="00C4762C">
        <w:t>3.7</w:t>
      </w:r>
      <w:r w:rsidRPr="00C4762C">
        <w:tab/>
        <w:t>Použití v průběhu březosti, laktace nebo snášky</w:t>
      </w:r>
    </w:p>
    <w:p w14:paraId="5898E14B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C07D6A1" w14:textId="173FC0DD" w:rsidR="00C114FF" w:rsidRPr="00C4762C" w:rsidRDefault="00E8759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  <w:u w:val="single"/>
        </w:rPr>
        <w:t>Březost</w:t>
      </w:r>
      <w:r w:rsidR="00B86C60" w:rsidRPr="00C4762C">
        <w:rPr>
          <w:szCs w:val="22"/>
        </w:rPr>
        <w:t xml:space="preserve"> </w:t>
      </w:r>
      <w:r w:rsidRPr="00C4762C">
        <w:rPr>
          <w:szCs w:val="22"/>
          <w:u w:val="single"/>
        </w:rPr>
        <w:t>a laktace</w:t>
      </w:r>
      <w:r w:rsidRPr="00C4762C">
        <w:rPr>
          <w:szCs w:val="22"/>
        </w:rPr>
        <w:t>:</w:t>
      </w:r>
    </w:p>
    <w:p w14:paraId="53C1DD44" w14:textId="77777777" w:rsidR="00092A37" w:rsidRPr="00C4762C" w:rsidRDefault="00092A3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8F63F45" w14:textId="61E96ADA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U prasnic použ</w:t>
      </w:r>
      <w:r w:rsidR="005274BC">
        <w:rPr>
          <w:szCs w:val="22"/>
        </w:rPr>
        <w:t>í</w:t>
      </w:r>
      <w:r w:rsidRPr="00C4762C">
        <w:rPr>
          <w:szCs w:val="22"/>
        </w:rPr>
        <w:t>t pouze po zvážení terapeutického prospěchu a rizika</w:t>
      </w:r>
      <w:r w:rsidR="0030009D" w:rsidRPr="00C4762C">
        <w:rPr>
          <w:szCs w:val="22"/>
        </w:rPr>
        <w:t xml:space="preserve"> </w:t>
      </w:r>
      <w:r w:rsidRPr="00C4762C">
        <w:rPr>
          <w:szCs w:val="22"/>
        </w:rPr>
        <w:t>příslušným veterinárním lékařem.</w:t>
      </w:r>
    </w:p>
    <w:p w14:paraId="45A16993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C4762C" w:rsidRDefault="00E87590" w:rsidP="00550E1E">
      <w:pPr>
        <w:pStyle w:val="Style1"/>
        <w:jc w:val="both"/>
      </w:pPr>
      <w:r w:rsidRPr="00C4762C">
        <w:t>3.8</w:t>
      </w:r>
      <w:r w:rsidRPr="00C4762C">
        <w:tab/>
        <w:t>Interakce s jinými léčivými přípravky a další formy interakce</w:t>
      </w:r>
    </w:p>
    <w:p w14:paraId="54454937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86F3A7" w14:textId="38653EDD" w:rsidR="00C90EDA" w:rsidRPr="00C4762C" w:rsidRDefault="00CE376C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E376C">
        <w:rPr>
          <w:szCs w:val="22"/>
        </w:rPr>
        <w:t>Souběžné podání s dvojmocnými kationty, jako jsou vápník a hořčík, může zhoršit absorpci oxytetracyklinu. Veterinární léčivý přípravek nepodá</w:t>
      </w:r>
      <w:r>
        <w:rPr>
          <w:szCs w:val="22"/>
        </w:rPr>
        <w:t>vat</w:t>
      </w:r>
      <w:r w:rsidRPr="00CE376C">
        <w:rPr>
          <w:szCs w:val="22"/>
        </w:rPr>
        <w:t xml:space="preserve"> v krmivu s vysokým obsahem vápníku nebo hořčíku.</w:t>
      </w:r>
    </w:p>
    <w:p w14:paraId="382BD457" w14:textId="77777777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3DFD79" w14:textId="77777777" w:rsidR="00C114FF" w:rsidRPr="00C4762C" w:rsidRDefault="00E87590" w:rsidP="00550E1E">
      <w:pPr>
        <w:pStyle w:val="Style1"/>
        <w:jc w:val="both"/>
      </w:pPr>
      <w:r w:rsidRPr="00C4762C">
        <w:t>3.9</w:t>
      </w:r>
      <w:r w:rsidRPr="00C4762C">
        <w:tab/>
        <w:t>Cesty podání a dávkování</w:t>
      </w:r>
    </w:p>
    <w:p w14:paraId="0C31E074" w14:textId="77777777" w:rsidR="00145D34" w:rsidRPr="00C4762C" w:rsidRDefault="00145D3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948E3C" w14:textId="1F296A92" w:rsidR="00B86C60" w:rsidRDefault="0073567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P</w:t>
      </w:r>
      <w:r w:rsidR="00B86C60" w:rsidRPr="00C4762C">
        <w:rPr>
          <w:szCs w:val="22"/>
        </w:rPr>
        <w:t>odání</w:t>
      </w:r>
      <w:r>
        <w:rPr>
          <w:szCs w:val="22"/>
        </w:rPr>
        <w:t xml:space="preserve"> v krmivu</w:t>
      </w:r>
      <w:r w:rsidR="00B86C60" w:rsidRPr="00C4762C">
        <w:rPr>
          <w:szCs w:val="22"/>
        </w:rPr>
        <w:t>.</w:t>
      </w:r>
    </w:p>
    <w:p w14:paraId="76442F2B" w14:textId="77777777" w:rsidR="0073567B" w:rsidRPr="00C4762C" w:rsidRDefault="0073567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B3A4A1B" w14:textId="38E30233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Prasata: 20-50 mg </w:t>
      </w:r>
      <w:r w:rsidR="00691B42">
        <w:rPr>
          <w:szCs w:val="22"/>
        </w:rPr>
        <w:t>oxytetracyklinu</w:t>
      </w:r>
      <w:r w:rsidRPr="00C4762C">
        <w:rPr>
          <w:szCs w:val="22"/>
        </w:rPr>
        <w:t>/kg ž.hm., což odpovídá 200-1250 g</w:t>
      </w:r>
      <w:r w:rsidR="0073567B">
        <w:rPr>
          <w:szCs w:val="22"/>
        </w:rPr>
        <w:t xml:space="preserve"> veterinárního léčivého</w:t>
      </w:r>
      <w:r w:rsidRPr="00C4762C">
        <w:rPr>
          <w:szCs w:val="22"/>
        </w:rPr>
        <w:t xml:space="preserve"> přípravku</w:t>
      </w:r>
      <w:r w:rsidR="00B620F7" w:rsidRPr="00C4762C">
        <w:rPr>
          <w:szCs w:val="22"/>
        </w:rPr>
        <w:t xml:space="preserve"> </w:t>
      </w:r>
      <w:r w:rsidR="004F750C">
        <w:rPr>
          <w:szCs w:val="22"/>
        </w:rPr>
        <w:t>/</w:t>
      </w:r>
      <w:r w:rsidRPr="00C4762C">
        <w:rPr>
          <w:szCs w:val="22"/>
        </w:rPr>
        <w:t>100 kg krmné směsi.</w:t>
      </w:r>
    </w:p>
    <w:p w14:paraId="448FBBBD" w14:textId="6455D3B7" w:rsidR="00B86C60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Podávat 3-5 dní podle následujícího schématu zohledňující úroveň</w:t>
      </w:r>
      <w:r w:rsidR="00B620F7" w:rsidRPr="00C4762C">
        <w:rPr>
          <w:szCs w:val="22"/>
        </w:rPr>
        <w:t xml:space="preserve"> </w:t>
      </w:r>
      <w:r w:rsidRPr="00C4762C">
        <w:rPr>
          <w:szCs w:val="22"/>
        </w:rPr>
        <w:t>příjmu krmiva v různých stádiích chovu:</w:t>
      </w:r>
    </w:p>
    <w:p w14:paraId="4BA7F09E" w14:textId="04C6AEC6" w:rsidR="00EE7CF4" w:rsidRDefault="00EE7CF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52B9F72" w14:textId="77777777" w:rsidR="00EE7CF4" w:rsidRPr="00C4762C" w:rsidRDefault="00EE7CF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6BC093A" w14:textId="77777777" w:rsidR="00B86C60" w:rsidRPr="00C4762C" w:rsidRDefault="00B86C60" w:rsidP="00C4762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B86C60" w:rsidRPr="00C4762C" w14:paraId="034A8465" w14:textId="77777777" w:rsidTr="00B86C60">
        <w:tc>
          <w:tcPr>
            <w:tcW w:w="4530" w:type="dxa"/>
          </w:tcPr>
          <w:p w14:paraId="212CE9A2" w14:textId="686495FC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C4762C">
              <w:rPr>
                <w:szCs w:val="22"/>
              </w:rPr>
              <w:t>Příjem krmiva</w:t>
            </w:r>
          </w:p>
        </w:tc>
        <w:tc>
          <w:tcPr>
            <w:tcW w:w="4531" w:type="dxa"/>
          </w:tcPr>
          <w:p w14:paraId="530BB5CE" w14:textId="77482C72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C4762C">
              <w:rPr>
                <w:szCs w:val="22"/>
              </w:rPr>
              <w:t xml:space="preserve">Množství v kg </w:t>
            </w:r>
            <w:proofErr w:type="spellStart"/>
            <w:r w:rsidRPr="00C4762C">
              <w:rPr>
                <w:szCs w:val="22"/>
              </w:rPr>
              <w:t>premixu</w:t>
            </w:r>
            <w:proofErr w:type="spellEnd"/>
            <w:r w:rsidRPr="00C4762C">
              <w:rPr>
                <w:szCs w:val="22"/>
              </w:rPr>
              <w:t xml:space="preserve"> na 100 kg krmné směsi</w:t>
            </w:r>
          </w:p>
        </w:tc>
      </w:tr>
      <w:tr w:rsidR="00B86C60" w:rsidRPr="00C4762C" w14:paraId="52E8A7FA" w14:textId="77777777" w:rsidTr="00B86C60">
        <w:tc>
          <w:tcPr>
            <w:tcW w:w="4530" w:type="dxa"/>
          </w:tcPr>
          <w:p w14:paraId="5CC5C106" w14:textId="7C2BD43C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C4762C">
              <w:rPr>
                <w:szCs w:val="22"/>
              </w:rPr>
              <w:t>5 % živé hmotnosti</w:t>
            </w:r>
          </w:p>
        </w:tc>
        <w:tc>
          <w:tcPr>
            <w:tcW w:w="4531" w:type="dxa"/>
          </w:tcPr>
          <w:p w14:paraId="298AF513" w14:textId="124AAA53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proofErr w:type="gramStart"/>
            <w:r w:rsidRPr="00C4762C">
              <w:rPr>
                <w:szCs w:val="22"/>
              </w:rPr>
              <w:t>200 - 500</w:t>
            </w:r>
            <w:proofErr w:type="gramEnd"/>
            <w:r w:rsidRPr="00C4762C">
              <w:rPr>
                <w:szCs w:val="22"/>
              </w:rPr>
              <w:t xml:space="preserve"> g </w:t>
            </w:r>
            <w:r w:rsidR="00C74747">
              <w:rPr>
                <w:szCs w:val="22"/>
              </w:rPr>
              <w:t>veterinárního léčivého</w:t>
            </w:r>
            <w:r w:rsidR="00C74747" w:rsidRPr="00C4762C">
              <w:rPr>
                <w:szCs w:val="22"/>
              </w:rPr>
              <w:t xml:space="preserve"> </w:t>
            </w:r>
            <w:r w:rsidRPr="00C4762C">
              <w:rPr>
                <w:szCs w:val="22"/>
              </w:rPr>
              <w:t>přípravku na 100 kg krmné směsi</w:t>
            </w:r>
          </w:p>
        </w:tc>
      </w:tr>
      <w:tr w:rsidR="00B86C60" w:rsidRPr="00C4762C" w14:paraId="48F1FE7A" w14:textId="77777777" w:rsidTr="00B86C60">
        <w:tc>
          <w:tcPr>
            <w:tcW w:w="4530" w:type="dxa"/>
          </w:tcPr>
          <w:p w14:paraId="42810600" w14:textId="60E7811D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C4762C">
              <w:rPr>
                <w:szCs w:val="22"/>
              </w:rPr>
              <w:t>3 % živé hmotnosti</w:t>
            </w:r>
          </w:p>
        </w:tc>
        <w:tc>
          <w:tcPr>
            <w:tcW w:w="4531" w:type="dxa"/>
          </w:tcPr>
          <w:p w14:paraId="6AD00238" w14:textId="5574E208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proofErr w:type="gramStart"/>
            <w:r w:rsidRPr="00C4762C">
              <w:rPr>
                <w:szCs w:val="22"/>
              </w:rPr>
              <w:t>350 - 800</w:t>
            </w:r>
            <w:proofErr w:type="gramEnd"/>
            <w:r w:rsidRPr="00C4762C">
              <w:rPr>
                <w:szCs w:val="22"/>
              </w:rPr>
              <w:t xml:space="preserve"> g </w:t>
            </w:r>
            <w:r w:rsidR="00C74747">
              <w:rPr>
                <w:szCs w:val="22"/>
              </w:rPr>
              <w:t>veterinárního léčivého</w:t>
            </w:r>
            <w:r w:rsidR="00C74747" w:rsidRPr="00C4762C">
              <w:rPr>
                <w:szCs w:val="22"/>
              </w:rPr>
              <w:t xml:space="preserve"> </w:t>
            </w:r>
            <w:r w:rsidRPr="00C4762C">
              <w:rPr>
                <w:szCs w:val="22"/>
              </w:rPr>
              <w:t>přípravku na 100 kg krmné směsi</w:t>
            </w:r>
          </w:p>
        </w:tc>
      </w:tr>
      <w:tr w:rsidR="00B86C60" w:rsidRPr="00C4762C" w14:paraId="12D98772" w14:textId="77777777" w:rsidTr="00B86C60">
        <w:tc>
          <w:tcPr>
            <w:tcW w:w="4530" w:type="dxa"/>
          </w:tcPr>
          <w:p w14:paraId="06BC69F6" w14:textId="1F4CBE18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C4762C">
              <w:rPr>
                <w:szCs w:val="22"/>
              </w:rPr>
              <w:t>2 % živé hmotnosti</w:t>
            </w:r>
          </w:p>
        </w:tc>
        <w:tc>
          <w:tcPr>
            <w:tcW w:w="4531" w:type="dxa"/>
          </w:tcPr>
          <w:p w14:paraId="0539BB77" w14:textId="0010295F" w:rsidR="00B86C60" w:rsidRPr="00C4762C" w:rsidRDefault="00B86C60" w:rsidP="00C4762C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proofErr w:type="gramStart"/>
            <w:r w:rsidRPr="00C4762C">
              <w:rPr>
                <w:szCs w:val="22"/>
              </w:rPr>
              <w:t>500 - 1250</w:t>
            </w:r>
            <w:proofErr w:type="gramEnd"/>
            <w:r w:rsidRPr="00C4762C">
              <w:rPr>
                <w:szCs w:val="22"/>
              </w:rPr>
              <w:t xml:space="preserve"> g </w:t>
            </w:r>
            <w:r w:rsidR="00C74747">
              <w:rPr>
                <w:szCs w:val="22"/>
              </w:rPr>
              <w:t>veterinárního léčivého</w:t>
            </w:r>
            <w:r w:rsidR="00C74747" w:rsidRPr="00C4762C">
              <w:rPr>
                <w:szCs w:val="22"/>
              </w:rPr>
              <w:t xml:space="preserve"> </w:t>
            </w:r>
            <w:r w:rsidRPr="00C4762C">
              <w:rPr>
                <w:szCs w:val="22"/>
              </w:rPr>
              <w:t>přípravku na 100 kg krmné směsi</w:t>
            </w:r>
          </w:p>
        </w:tc>
      </w:tr>
    </w:tbl>
    <w:p w14:paraId="58B2A4B6" w14:textId="77777777" w:rsidR="00B86C60" w:rsidRPr="00C4762C" w:rsidRDefault="00B86C60" w:rsidP="00C4762C">
      <w:pPr>
        <w:tabs>
          <w:tab w:val="clear" w:pos="567"/>
        </w:tabs>
        <w:spacing w:line="240" w:lineRule="auto"/>
        <w:rPr>
          <w:szCs w:val="22"/>
        </w:rPr>
      </w:pPr>
    </w:p>
    <w:p w14:paraId="13504C24" w14:textId="3BD4ECE2" w:rsidR="00247A48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Dávkovat podle věku, hmotnosti a spotřeby krmiva zvířaty. Spotřeba medikovaného krmiva je závislá na klinickém stavu zvířat, který je třeba zohlednit při výpočtu koncentrace antibiotika a stanovení správného dávkování. </w:t>
      </w:r>
    </w:p>
    <w:p w14:paraId="2BB7ACF3" w14:textId="77777777" w:rsidR="00510564" w:rsidRPr="00C4762C" w:rsidRDefault="0051056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4" w:name="_Hlk233971633"/>
      <w:r w:rsidRPr="00C4762C">
        <w:rPr>
          <w:szCs w:val="22"/>
        </w:rPr>
        <w:t>Pro zajištění správného dávkování je třeba co nejpřesněji stanovit živou hmotnost.</w:t>
      </w:r>
    </w:p>
    <w:p w14:paraId="40729EB3" w14:textId="2BCBE3FE" w:rsidR="00510564" w:rsidRDefault="0051056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Pro dosažení správného dávkování může být nutné odpovídajícím způsobem upravit koncentraci oxytetracyklinu.</w:t>
      </w:r>
    </w:p>
    <w:p w14:paraId="47F646BD" w14:textId="77777777" w:rsidR="0033245D" w:rsidRPr="00C4762C" w:rsidRDefault="0033245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C21594" w14:textId="083F0A41" w:rsidR="00510564" w:rsidRPr="00C4762C" w:rsidRDefault="00510564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Na základě doporučené dávky a počtu a hmotnosti zvířat, která je třeba ošetřit, se přesná denní koncentrace veterinárního léčivého přípravku vypočítá podle následujícího vzorce:</w:t>
      </w:r>
    </w:p>
    <w:p w14:paraId="362AD391" w14:textId="77777777" w:rsidR="00EE7CF4" w:rsidRPr="00EE7CF4" w:rsidRDefault="00EE7CF4" w:rsidP="00EE7CF4">
      <w:pPr>
        <w:tabs>
          <w:tab w:val="clear" w:pos="567"/>
        </w:tabs>
        <w:spacing w:line="240" w:lineRule="auto"/>
        <w:rPr>
          <w:color w:val="000000" w:themeColor="text1"/>
          <w:szCs w:val="22"/>
        </w:rPr>
      </w:pPr>
    </w:p>
    <w:tbl>
      <w:tblPr>
        <w:tblW w:w="9357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534"/>
        <w:gridCol w:w="160"/>
        <w:gridCol w:w="2127"/>
        <w:gridCol w:w="284"/>
        <w:gridCol w:w="1558"/>
      </w:tblGrid>
      <w:tr w:rsidR="00EE7CF4" w:rsidRPr="00EE7CF4" w14:paraId="49775344" w14:textId="77777777" w:rsidTr="00FC1F0D">
        <w:trPr>
          <w:cantSplit/>
          <w:trHeight w:val="466"/>
        </w:trPr>
        <w:tc>
          <w:tcPr>
            <w:tcW w:w="2410" w:type="dxa"/>
            <w:vAlign w:val="center"/>
          </w:tcPr>
          <w:p w14:paraId="240333E0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 xml:space="preserve">mg </w:t>
            </w:r>
            <w:r w:rsidRPr="00EE7CF4">
              <w:rPr>
                <w:color w:val="000000" w:themeColor="text1"/>
                <w:szCs w:val="22"/>
              </w:rPr>
              <w:t>veterinárního léčivého</w:t>
            </w:r>
            <w:r w:rsidRPr="00EE7CF4">
              <w:rPr>
                <w:bCs/>
                <w:color w:val="000000" w:themeColor="text1"/>
                <w:szCs w:val="22"/>
              </w:rPr>
              <w:t xml:space="preserve"> přípravku/kg ž. hm. </w:t>
            </w:r>
          </w:p>
        </w:tc>
        <w:tc>
          <w:tcPr>
            <w:tcW w:w="284" w:type="dxa"/>
            <w:vAlign w:val="center"/>
          </w:tcPr>
          <w:p w14:paraId="29E9D5D1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>x</w:t>
            </w:r>
          </w:p>
        </w:tc>
        <w:tc>
          <w:tcPr>
            <w:tcW w:w="2534" w:type="dxa"/>
            <w:vAlign w:val="center"/>
          </w:tcPr>
          <w:p w14:paraId="0ABC8AAC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 xml:space="preserve">průměrná živá hmotnost </w:t>
            </w:r>
          </w:p>
          <w:p w14:paraId="7E20907E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>(v kg) léčených zvířat v daný den</w:t>
            </w:r>
          </w:p>
        </w:tc>
        <w:tc>
          <w:tcPr>
            <w:tcW w:w="160" w:type="dxa"/>
            <w:vAlign w:val="center"/>
          </w:tcPr>
          <w:p w14:paraId="425431D3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330855D4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</w:p>
        </w:tc>
        <w:tc>
          <w:tcPr>
            <w:tcW w:w="284" w:type="dxa"/>
            <w:vMerge w:val="restart"/>
            <w:tcBorders>
              <w:bottom w:val="single" w:sz="4" w:space="0" w:color="000000"/>
            </w:tcBorders>
            <w:vAlign w:val="center"/>
          </w:tcPr>
          <w:p w14:paraId="61D16840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>=</w:t>
            </w:r>
          </w:p>
        </w:tc>
        <w:tc>
          <w:tcPr>
            <w:tcW w:w="1558" w:type="dxa"/>
            <w:vMerge w:val="restart"/>
            <w:tcBorders>
              <w:bottom w:val="single" w:sz="4" w:space="0" w:color="000000"/>
            </w:tcBorders>
            <w:vAlign w:val="center"/>
          </w:tcPr>
          <w:p w14:paraId="39994EF8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 xml:space="preserve">.... mg </w:t>
            </w:r>
            <w:r w:rsidRPr="00EE7CF4">
              <w:rPr>
                <w:color w:val="000000" w:themeColor="text1"/>
                <w:szCs w:val="22"/>
              </w:rPr>
              <w:t xml:space="preserve">veterinárního léčivého </w:t>
            </w:r>
            <w:r w:rsidRPr="00EE7CF4">
              <w:rPr>
                <w:bCs/>
                <w:color w:val="000000" w:themeColor="text1"/>
                <w:szCs w:val="22"/>
              </w:rPr>
              <w:t>přípravku na kg</w:t>
            </w:r>
            <w:r w:rsidRPr="00EE7CF4">
              <w:rPr>
                <w:bCs/>
                <w:color w:val="000000" w:themeColor="text1"/>
                <w:szCs w:val="22"/>
              </w:rPr>
              <w:br/>
              <w:t>krmiva</w:t>
            </w:r>
          </w:p>
        </w:tc>
      </w:tr>
      <w:tr w:rsidR="00EE7CF4" w:rsidRPr="00EE7CF4" w14:paraId="6F691AFB" w14:textId="77777777" w:rsidTr="00FC1F0D">
        <w:trPr>
          <w:cantSplit/>
          <w:trHeight w:val="70"/>
        </w:trPr>
        <w:tc>
          <w:tcPr>
            <w:tcW w:w="7515" w:type="dxa"/>
            <w:gridSpan w:val="5"/>
            <w:tcBorders>
              <w:top w:val="single" w:sz="4" w:space="0" w:color="000000"/>
            </w:tcBorders>
            <w:vAlign w:val="bottom"/>
          </w:tcPr>
          <w:p w14:paraId="01C22303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  <w:r w:rsidRPr="00EE7CF4">
              <w:rPr>
                <w:bCs/>
                <w:color w:val="000000" w:themeColor="text1"/>
                <w:szCs w:val="22"/>
              </w:rPr>
              <w:t>Průměrná denní spotřeba krmiva (</w:t>
            </w:r>
            <w:r w:rsidRPr="00EE7CF4">
              <w:rPr>
                <w:color w:val="000000" w:themeColor="text1"/>
                <w:szCs w:val="22"/>
              </w:rPr>
              <w:t>kg/zvíře</w:t>
            </w:r>
            <w:r w:rsidRPr="00EE7CF4">
              <w:rPr>
                <w:bCs/>
                <w:color w:val="000000" w:themeColor="text1"/>
                <w:szCs w:val="22"/>
              </w:rPr>
              <w:t>)</w:t>
            </w:r>
          </w:p>
        </w:tc>
        <w:tc>
          <w:tcPr>
            <w:tcW w:w="284" w:type="dxa"/>
            <w:vMerge/>
            <w:tcBorders>
              <w:top w:val="single" w:sz="4" w:space="0" w:color="000000"/>
            </w:tcBorders>
            <w:vAlign w:val="center"/>
          </w:tcPr>
          <w:p w14:paraId="0FC5CC43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</w:tcBorders>
            <w:vAlign w:val="center"/>
          </w:tcPr>
          <w:p w14:paraId="3239D33A" w14:textId="77777777" w:rsidR="00EE7CF4" w:rsidRPr="00EE7CF4" w:rsidRDefault="00EE7CF4" w:rsidP="00EE7CF4">
            <w:pPr>
              <w:tabs>
                <w:tab w:val="clear" w:pos="567"/>
              </w:tabs>
              <w:spacing w:line="240" w:lineRule="auto"/>
              <w:rPr>
                <w:bCs/>
                <w:color w:val="000000" w:themeColor="text1"/>
                <w:szCs w:val="22"/>
              </w:rPr>
            </w:pPr>
          </w:p>
        </w:tc>
      </w:tr>
    </w:tbl>
    <w:p w14:paraId="2E3CF0E4" w14:textId="77777777" w:rsidR="00EE7CF4" w:rsidRPr="00EE7CF4" w:rsidRDefault="00EE7CF4" w:rsidP="00EE7CF4">
      <w:pPr>
        <w:tabs>
          <w:tab w:val="clear" w:pos="567"/>
        </w:tabs>
        <w:spacing w:line="240" w:lineRule="auto"/>
        <w:rPr>
          <w:color w:val="000000" w:themeColor="text1"/>
          <w:szCs w:val="22"/>
        </w:rPr>
      </w:pPr>
    </w:p>
    <w:bookmarkEnd w:id="4"/>
    <w:p w14:paraId="0A85AF50" w14:textId="198BF553" w:rsidR="00C114FF" w:rsidRPr="00C4762C" w:rsidRDefault="00E87590" w:rsidP="00550E1E">
      <w:pPr>
        <w:pStyle w:val="Style1"/>
        <w:jc w:val="both"/>
      </w:pPr>
      <w:r w:rsidRPr="00C4762C">
        <w:t>3.10</w:t>
      </w:r>
      <w:r w:rsidRPr="00C4762C">
        <w:tab/>
        <w:t xml:space="preserve">Příznaky předávkování </w:t>
      </w:r>
      <w:r w:rsidR="00EC5045" w:rsidRPr="00C4762C">
        <w:t>(</w:t>
      </w:r>
      <w:r w:rsidRPr="00C4762C">
        <w:t xml:space="preserve">a </w:t>
      </w:r>
      <w:r w:rsidR="00202A85" w:rsidRPr="00C4762C">
        <w:t>kde</w:t>
      </w:r>
      <w:r w:rsidR="005E66FC" w:rsidRPr="00C4762C">
        <w:t xml:space="preserve"> </w:t>
      </w:r>
      <w:r w:rsidR="00202A85" w:rsidRPr="00C4762C">
        <w:t>je</w:t>
      </w:r>
      <w:r w:rsidR="005E66FC" w:rsidRPr="00C4762C">
        <w:t xml:space="preserve"> </w:t>
      </w:r>
      <w:r w:rsidR="00FB6F2F" w:rsidRPr="00C4762C">
        <w:t>relevantní</w:t>
      </w:r>
      <w:r w:rsidR="00202A85" w:rsidRPr="00C4762C">
        <w:t>, první pomoc</w:t>
      </w:r>
      <w:r w:rsidRPr="00C4762C">
        <w:t xml:space="preserve"> a antidota</w:t>
      </w:r>
      <w:r w:rsidR="00202A85" w:rsidRPr="00C4762C">
        <w:t>)</w:t>
      </w:r>
      <w:r w:rsidRPr="00C4762C">
        <w:t xml:space="preserve"> </w:t>
      </w:r>
    </w:p>
    <w:p w14:paraId="45A34650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266467" w14:textId="77777777" w:rsidR="006B7D97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K dispozici nejsou relevantní údaje. </w:t>
      </w:r>
    </w:p>
    <w:p w14:paraId="2FEE1B80" w14:textId="5C5B71B7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Nepřekračovat doporučené dávkování.</w:t>
      </w:r>
    </w:p>
    <w:p w14:paraId="470B7F12" w14:textId="77777777" w:rsidR="00B86C60" w:rsidRPr="00C4762C" w:rsidRDefault="00B86C6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3CD3206" w14:textId="294F4287" w:rsidR="009A6509" w:rsidRPr="00C4762C" w:rsidRDefault="00E87590" w:rsidP="00550E1E">
      <w:pPr>
        <w:pStyle w:val="Style1"/>
        <w:jc w:val="both"/>
      </w:pPr>
      <w:r w:rsidRPr="00C4762C">
        <w:t>3.11</w:t>
      </w:r>
      <w:r w:rsidRPr="00C4762C">
        <w:tab/>
        <w:t>Zvláštní omezení pro použití a zvláštní podmínky pro použití, včetně omezení používání antimikrob</w:t>
      </w:r>
      <w:r w:rsidR="00202A85" w:rsidRPr="00C4762C">
        <w:t>ních</w:t>
      </w:r>
      <w:r w:rsidRPr="00C4762C">
        <w:t xml:space="preserve"> a antiparazitárních veterinárních léčivých přípravků, za účelem snížení rizika rozvoje rezistence</w:t>
      </w:r>
    </w:p>
    <w:p w14:paraId="1204C42F" w14:textId="77777777" w:rsidR="009A6509" w:rsidRPr="00C4762C" w:rsidRDefault="009A6509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3925A6E" w14:textId="56D0711B" w:rsidR="006B7D97" w:rsidRDefault="003A7CB8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A7CB8">
        <w:rPr>
          <w:szCs w:val="22"/>
        </w:rPr>
        <w:t xml:space="preserve">Nepoužívat </w:t>
      </w:r>
      <w:r w:rsidR="006B7D97">
        <w:rPr>
          <w:szCs w:val="22"/>
        </w:rPr>
        <w:t>pro</w:t>
      </w:r>
      <w:r w:rsidR="006B7D97" w:rsidRPr="003A7CB8">
        <w:rPr>
          <w:szCs w:val="22"/>
        </w:rPr>
        <w:t xml:space="preserve"> </w:t>
      </w:r>
      <w:r w:rsidRPr="003A7CB8">
        <w:rPr>
          <w:szCs w:val="22"/>
        </w:rPr>
        <w:t>profylaxi.</w:t>
      </w:r>
    </w:p>
    <w:p w14:paraId="77D26C2E" w14:textId="07233B95" w:rsidR="003A7CB8" w:rsidRDefault="006B7D9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6B7D97">
        <w:rPr>
          <w:szCs w:val="22"/>
        </w:rPr>
        <w:t>Tento veterinární léčivý přípravek je určen pro použití při přípravě medikovaného krmiva.</w:t>
      </w:r>
    </w:p>
    <w:p w14:paraId="03A8589E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BB4EC2" w14:textId="77777777" w:rsidR="00C114FF" w:rsidRPr="00C4762C" w:rsidRDefault="00E87590" w:rsidP="00550E1E">
      <w:pPr>
        <w:pStyle w:val="Style1"/>
        <w:jc w:val="both"/>
      </w:pPr>
      <w:r w:rsidRPr="00C4762C">
        <w:t>3.12</w:t>
      </w:r>
      <w:r w:rsidRPr="00C4762C">
        <w:tab/>
        <w:t>Ochranné lhůty</w:t>
      </w:r>
    </w:p>
    <w:p w14:paraId="2DC95067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5946CB6" w14:textId="6126D643" w:rsidR="00C114FF" w:rsidRDefault="00D2324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 xml:space="preserve">Prasata: </w:t>
      </w:r>
      <w:r w:rsidR="005401D7">
        <w:rPr>
          <w:szCs w:val="22"/>
        </w:rPr>
        <w:t>m</w:t>
      </w:r>
      <w:r w:rsidR="006B43AE" w:rsidRPr="00C4762C">
        <w:rPr>
          <w:szCs w:val="22"/>
        </w:rPr>
        <w:t>aso</w:t>
      </w:r>
      <w:r w:rsidR="007E5BA5" w:rsidRPr="00C4762C">
        <w:rPr>
          <w:szCs w:val="22"/>
        </w:rPr>
        <w:t>:</w:t>
      </w:r>
      <w:r w:rsidR="006B43AE" w:rsidRPr="00C4762C">
        <w:rPr>
          <w:szCs w:val="22"/>
        </w:rPr>
        <w:t xml:space="preserve"> 14 dní.</w:t>
      </w:r>
    </w:p>
    <w:p w14:paraId="2B7D158F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1B55BD" w14:textId="77777777" w:rsidR="00FC02F3" w:rsidRPr="00C4762C" w:rsidRDefault="00FC02F3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5B50269" w14:textId="35E96881" w:rsidR="00C114FF" w:rsidRPr="00C4762C" w:rsidRDefault="00E87590" w:rsidP="00550E1E">
      <w:pPr>
        <w:pStyle w:val="Style1"/>
        <w:jc w:val="both"/>
      </w:pPr>
      <w:r w:rsidRPr="00C4762C">
        <w:t>4.</w:t>
      </w:r>
      <w:r w:rsidRPr="00C4762C">
        <w:tab/>
        <w:t>FARMAKOLOGICKÉ</w:t>
      </w:r>
      <w:r w:rsidR="006B43AE" w:rsidRPr="00C4762C">
        <w:t xml:space="preserve"> </w:t>
      </w:r>
      <w:r w:rsidRPr="00C4762C">
        <w:t>INFORMACE</w:t>
      </w:r>
    </w:p>
    <w:p w14:paraId="2C2A4C50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A42117" w14:textId="76200BB9" w:rsidR="00C114FF" w:rsidRPr="00C4762C" w:rsidRDefault="00E87590" w:rsidP="00550E1E">
      <w:pPr>
        <w:pStyle w:val="Style1"/>
        <w:jc w:val="both"/>
      </w:pPr>
      <w:r w:rsidRPr="00C4762C">
        <w:t>4.1</w:t>
      </w:r>
      <w:r w:rsidRPr="00C4762C">
        <w:tab/>
        <w:t>ATCvet kód:</w:t>
      </w:r>
      <w:r w:rsidR="00554C27" w:rsidRPr="00C4762C">
        <w:t xml:space="preserve"> </w:t>
      </w:r>
      <w:r w:rsidR="006B43AE" w:rsidRPr="00C4762C">
        <w:rPr>
          <w:b w:val="0"/>
          <w:bCs/>
        </w:rPr>
        <w:t>QJ01AA06</w:t>
      </w:r>
    </w:p>
    <w:p w14:paraId="5C965196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DC4C65B" w14:textId="24B09D9C" w:rsidR="00C114FF" w:rsidRPr="00C4762C" w:rsidRDefault="00E87590" w:rsidP="00550E1E">
      <w:pPr>
        <w:pStyle w:val="Style1"/>
        <w:jc w:val="both"/>
      </w:pPr>
      <w:r w:rsidRPr="00C4762C">
        <w:t>4.2</w:t>
      </w:r>
      <w:r w:rsidRPr="00C4762C">
        <w:tab/>
        <w:t>Farmakodynamika</w:t>
      </w:r>
    </w:p>
    <w:p w14:paraId="50FA42E3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DE2B8E" w14:textId="39506168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Oxytetracyklin je širokospektrální antibiotikum patřící do skupiny tetracyklinů účinných proti hlavním zástupcům patogenních </w:t>
      </w:r>
      <w:r w:rsidR="00C12E85" w:rsidRPr="00C4762C">
        <w:rPr>
          <w:szCs w:val="22"/>
        </w:rPr>
        <w:t>bakterií</w:t>
      </w:r>
      <w:r w:rsidRPr="00C4762C">
        <w:rPr>
          <w:szCs w:val="22"/>
        </w:rPr>
        <w:t xml:space="preserve">, jak </w:t>
      </w:r>
      <w:proofErr w:type="spellStart"/>
      <w:proofErr w:type="gramStart"/>
      <w:r w:rsidRPr="00C4762C">
        <w:rPr>
          <w:szCs w:val="22"/>
        </w:rPr>
        <w:t>grampozitivních</w:t>
      </w:r>
      <w:proofErr w:type="spellEnd"/>
      <w:proofErr w:type="gramEnd"/>
      <w:r w:rsidRPr="00C4762C">
        <w:rPr>
          <w:szCs w:val="22"/>
        </w:rPr>
        <w:t xml:space="preserve"> tak gramnegativních: </w:t>
      </w:r>
      <w:proofErr w:type="spellStart"/>
      <w:r w:rsidRPr="00C4762C">
        <w:rPr>
          <w:i/>
          <w:iCs/>
          <w:szCs w:val="22"/>
        </w:rPr>
        <w:t>Actinobacillus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pleuropneumoniae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Bordetella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bronchiseptica</w:t>
      </w:r>
      <w:proofErr w:type="spellEnd"/>
      <w:r w:rsidRPr="00C4762C">
        <w:rPr>
          <w:i/>
          <w:iCs/>
          <w:szCs w:val="22"/>
        </w:rPr>
        <w:t xml:space="preserve">, Clostridium </w:t>
      </w:r>
      <w:proofErr w:type="spellStart"/>
      <w:r w:rsidR="00367C0A" w:rsidRPr="00B1730C">
        <w:rPr>
          <w:i/>
          <w:iCs/>
          <w:szCs w:val="22"/>
        </w:rPr>
        <w:t>perfringens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Erysipelothrix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rhusiopatiae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Mycobacterium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B1730C">
        <w:rPr>
          <w:iCs/>
          <w:szCs w:val="22"/>
        </w:rPr>
        <w:t>spp</w:t>
      </w:r>
      <w:proofErr w:type="spellEnd"/>
      <w:r w:rsidRPr="00C4762C">
        <w:rPr>
          <w:i/>
          <w:iCs/>
          <w:szCs w:val="22"/>
        </w:rPr>
        <w:t xml:space="preserve">., </w:t>
      </w:r>
      <w:proofErr w:type="spellStart"/>
      <w:r w:rsidRPr="00C4762C">
        <w:rPr>
          <w:i/>
          <w:iCs/>
          <w:szCs w:val="22"/>
        </w:rPr>
        <w:t>Mycoplasma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B1730C">
        <w:rPr>
          <w:iCs/>
          <w:szCs w:val="22"/>
        </w:rPr>
        <w:t>spp</w:t>
      </w:r>
      <w:proofErr w:type="spellEnd"/>
      <w:r w:rsidRPr="00C4762C">
        <w:rPr>
          <w:i/>
          <w:iCs/>
          <w:szCs w:val="22"/>
        </w:rPr>
        <w:t xml:space="preserve">., </w:t>
      </w:r>
      <w:proofErr w:type="spellStart"/>
      <w:r w:rsidRPr="00C4762C">
        <w:rPr>
          <w:i/>
          <w:iCs/>
          <w:szCs w:val="22"/>
        </w:rPr>
        <w:t>Pasteurella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C4762C">
        <w:rPr>
          <w:i/>
          <w:iCs/>
          <w:szCs w:val="22"/>
        </w:rPr>
        <w:t>multocida</w:t>
      </w:r>
      <w:proofErr w:type="spellEnd"/>
      <w:r w:rsidRPr="00C4762C">
        <w:rPr>
          <w:i/>
          <w:iCs/>
          <w:szCs w:val="22"/>
        </w:rPr>
        <w:t xml:space="preserve">, </w:t>
      </w:r>
      <w:proofErr w:type="spellStart"/>
      <w:r w:rsidRPr="00C4762C">
        <w:rPr>
          <w:i/>
          <w:iCs/>
          <w:szCs w:val="22"/>
        </w:rPr>
        <w:t>Streptococcus</w:t>
      </w:r>
      <w:proofErr w:type="spellEnd"/>
      <w:r w:rsidRPr="00C4762C">
        <w:rPr>
          <w:i/>
          <w:iCs/>
          <w:szCs w:val="22"/>
        </w:rPr>
        <w:t xml:space="preserve"> </w:t>
      </w:r>
      <w:proofErr w:type="spellStart"/>
      <w:r w:rsidRPr="00B1730C">
        <w:rPr>
          <w:iCs/>
          <w:szCs w:val="22"/>
        </w:rPr>
        <w:t>spp</w:t>
      </w:r>
      <w:proofErr w:type="spellEnd"/>
      <w:r w:rsidRPr="00C4762C">
        <w:rPr>
          <w:i/>
          <w:iCs/>
          <w:szCs w:val="22"/>
        </w:rPr>
        <w:t>.</w:t>
      </w:r>
    </w:p>
    <w:p w14:paraId="0CF3E322" w14:textId="6EDECEE2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Působí bakteriostaticky tak, že svými vazbami na bakteriální </w:t>
      </w:r>
      <w:proofErr w:type="spellStart"/>
      <w:r w:rsidRPr="00C4762C">
        <w:rPr>
          <w:szCs w:val="22"/>
        </w:rPr>
        <w:t>ribosomy</w:t>
      </w:r>
      <w:proofErr w:type="spellEnd"/>
      <w:r w:rsidRPr="00C4762C">
        <w:rPr>
          <w:szCs w:val="22"/>
        </w:rPr>
        <w:t xml:space="preserve"> inhibuje syntézu bílkovin.</w:t>
      </w:r>
    </w:p>
    <w:p w14:paraId="2F042C38" w14:textId="2B445B17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Jsou popsány čtyři mechanismy získané rezistence mikroorganismů proti tetracyklinům obecně:</w:t>
      </w:r>
    </w:p>
    <w:p w14:paraId="24DBEB02" w14:textId="5BB5B41D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Snížená akumulace tetracyklinů (snížená propustnost bakteriální buněčné stěny a aktivní </w:t>
      </w:r>
      <w:proofErr w:type="spellStart"/>
      <w:r w:rsidRPr="00C4762C">
        <w:rPr>
          <w:szCs w:val="22"/>
        </w:rPr>
        <w:t>eflux</w:t>
      </w:r>
      <w:proofErr w:type="spellEnd"/>
      <w:r w:rsidRPr="00C4762C">
        <w:rPr>
          <w:szCs w:val="22"/>
        </w:rPr>
        <w:t xml:space="preserve">), proteinová ochrana bakteriálního ribozomu, enzymatická inaktivace antibiotik a mutace </w:t>
      </w:r>
      <w:proofErr w:type="spellStart"/>
      <w:r w:rsidRPr="00C4762C">
        <w:rPr>
          <w:szCs w:val="22"/>
        </w:rPr>
        <w:t>rRNA</w:t>
      </w:r>
      <w:proofErr w:type="spellEnd"/>
      <w:r w:rsidRPr="00C4762C">
        <w:rPr>
          <w:szCs w:val="22"/>
        </w:rPr>
        <w:t xml:space="preserve"> (brání</w:t>
      </w:r>
      <w:r w:rsidR="00550E1E">
        <w:rPr>
          <w:szCs w:val="22"/>
        </w:rPr>
        <w:t xml:space="preserve"> </w:t>
      </w:r>
      <w:r w:rsidRPr="00C4762C">
        <w:rPr>
          <w:szCs w:val="22"/>
        </w:rPr>
        <w:lastRenderedPageBreak/>
        <w:t xml:space="preserve">tetracyklinu navázat se na ribozom). K přenosu rezistence na tetracykliny může docházet prostřednictvím </w:t>
      </w:r>
      <w:proofErr w:type="spellStart"/>
      <w:r w:rsidRPr="00C4762C">
        <w:rPr>
          <w:szCs w:val="22"/>
        </w:rPr>
        <w:t>plazmidů</w:t>
      </w:r>
      <w:proofErr w:type="spellEnd"/>
      <w:r w:rsidRPr="00C4762C">
        <w:rPr>
          <w:szCs w:val="22"/>
        </w:rPr>
        <w:t xml:space="preserve"> nebo jiných mobilních prvků (např. </w:t>
      </w:r>
      <w:proofErr w:type="spellStart"/>
      <w:r w:rsidR="00C12E85" w:rsidRPr="00C4762C">
        <w:rPr>
          <w:szCs w:val="22"/>
        </w:rPr>
        <w:t>k</w:t>
      </w:r>
      <w:r w:rsidRPr="00C4762C">
        <w:rPr>
          <w:szCs w:val="22"/>
        </w:rPr>
        <w:t>onjugativních</w:t>
      </w:r>
      <w:proofErr w:type="spellEnd"/>
      <w:r w:rsidRPr="00C4762C">
        <w:rPr>
          <w:szCs w:val="22"/>
        </w:rPr>
        <w:t xml:space="preserve"> </w:t>
      </w:r>
      <w:proofErr w:type="spellStart"/>
      <w:r w:rsidRPr="00C4762C">
        <w:rPr>
          <w:szCs w:val="22"/>
        </w:rPr>
        <w:t>transpozonů</w:t>
      </w:r>
      <w:proofErr w:type="spellEnd"/>
      <w:r w:rsidRPr="00C4762C">
        <w:rPr>
          <w:szCs w:val="22"/>
        </w:rPr>
        <w:t>). Byla také popsána zkřížená rezistence v rámci tetracyklinové skupiny.</w:t>
      </w:r>
    </w:p>
    <w:p w14:paraId="2D7F6739" w14:textId="08FF0D8D" w:rsidR="00E12AA5" w:rsidRPr="00C4762C" w:rsidRDefault="00E12AA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V tabulkách EUCAST (01-2025) jsou v současné době k dispozici následující hraniční koncentrace (</w:t>
      </w:r>
      <w:proofErr w:type="spellStart"/>
      <w:r w:rsidRPr="00C4762C">
        <w:rPr>
          <w:szCs w:val="22"/>
        </w:rPr>
        <w:t>breakpointy</w:t>
      </w:r>
      <w:proofErr w:type="spellEnd"/>
      <w:r w:rsidRPr="00C4762C">
        <w:rPr>
          <w:szCs w:val="22"/>
        </w:rPr>
        <w:t>) pro tetracyklin, který je referenční molekulou pro skupinu tetracyklinů:</w:t>
      </w:r>
    </w:p>
    <w:p w14:paraId="21F2195B" w14:textId="77777777" w:rsidR="00E12AA5" w:rsidRPr="00C4762C" w:rsidRDefault="00E12AA5" w:rsidP="00C4762C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5"/>
        <w:gridCol w:w="1342"/>
        <w:gridCol w:w="1275"/>
      </w:tblGrid>
      <w:tr w:rsidR="00E12AA5" w:rsidRPr="00C4762C" w14:paraId="3930ADB1" w14:textId="77777777" w:rsidTr="00B1730C">
        <w:trPr>
          <w:trHeight w:val="263"/>
        </w:trPr>
        <w:tc>
          <w:tcPr>
            <w:tcW w:w="6455" w:type="dxa"/>
            <w:vMerge w:val="restart"/>
          </w:tcPr>
          <w:p w14:paraId="45855AA5" w14:textId="22649AA0" w:rsidR="00E12AA5" w:rsidRPr="00C4762C" w:rsidRDefault="00E12AA5" w:rsidP="00C4762C">
            <w:pPr>
              <w:spacing w:line="240" w:lineRule="auto"/>
              <w:jc w:val="both"/>
              <w:rPr>
                <w:b/>
                <w:szCs w:val="22"/>
              </w:rPr>
            </w:pPr>
            <w:r w:rsidRPr="00C4762C">
              <w:rPr>
                <w:b/>
                <w:szCs w:val="22"/>
              </w:rPr>
              <w:t>Mikroorganismus</w:t>
            </w:r>
          </w:p>
        </w:tc>
        <w:tc>
          <w:tcPr>
            <w:tcW w:w="2617" w:type="dxa"/>
            <w:gridSpan w:val="2"/>
          </w:tcPr>
          <w:p w14:paraId="27F33B24" w14:textId="77777777" w:rsidR="00E12AA5" w:rsidRPr="00C4762C" w:rsidRDefault="00E12AA5" w:rsidP="00C4762C">
            <w:pPr>
              <w:spacing w:line="240" w:lineRule="auto"/>
              <w:jc w:val="center"/>
              <w:rPr>
                <w:b/>
                <w:szCs w:val="22"/>
              </w:rPr>
            </w:pPr>
            <w:proofErr w:type="spellStart"/>
            <w:r w:rsidRPr="00C4762C">
              <w:rPr>
                <w:b/>
                <w:szCs w:val="22"/>
              </w:rPr>
              <w:t>Breakpoint</w:t>
            </w:r>
            <w:proofErr w:type="spellEnd"/>
            <w:r w:rsidRPr="00C4762C">
              <w:rPr>
                <w:b/>
                <w:szCs w:val="22"/>
              </w:rPr>
              <w:t xml:space="preserve"> (mg/L)</w:t>
            </w:r>
          </w:p>
        </w:tc>
      </w:tr>
      <w:tr w:rsidR="00E12AA5" w:rsidRPr="00C4762C" w14:paraId="1C3676BC" w14:textId="77777777" w:rsidTr="00B1730C">
        <w:trPr>
          <w:trHeight w:val="537"/>
        </w:trPr>
        <w:tc>
          <w:tcPr>
            <w:tcW w:w="6455" w:type="dxa"/>
            <w:vMerge/>
          </w:tcPr>
          <w:p w14:paraId="1B84426F" w14:textId="77777777" w:rsidR="00E12AA5" w:rsidRPr="00C4762C" w:rsidRDefault="00E12AA5" w:rsidP="00C4762C">
            <w:pPr>
              <w:spacing w:line="240" w:lineRule="auto"/>
              <w:jc w:val="both"/>
              <w:rPr>
                <w:color w:val="FF0000"/>
                <w:szCs w:val="22"/>
              </w:rPr>
            </w:pPr>
          </w:p>
        </w:tc>
        <w:tc>
          <w:tcPr>
            <w:tcW w:w="1342" w:type="dxa"/>
          </w:tcPr>
          <w:p w14:paraId="3BF55BB7" w14:textId="477C2EBB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 xml:space="preserve">Citlivý </w:t>
            </w:r>
            <w:r w:rsidR="00B061EF">
              <w:rPr>
                <w:szCs w:val="22"/>
              </w:rPr>
              <w:br/>
            </w:r>
            <w:r w:rsidRPr="00C4762C">
              <w:rPr>
                <w:szCs w:val="22"/>
              </w:rPr>
              <w:t>≤</w:t>
            </w:r>
          </w:p>
        </w:tc>
        <w:tc>
          <w:tcPr>
            <w:tcW w:w="1275" w:type="dxa"/>
          </w:tcPr>
          <w:p w14:paraId="4ECC4895" w14:textId="381D45D3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Rezistentní ≥</w:t>
            </w:r>
          </w:p>
        </w:tc>
      </w:tr>
      <w:tr w:rsidR="00E12AA5" w:rsidRPr="00C4762C" w14:paraId="1B02BBE7" w14:textId="77777777" w:rsidTr="00B1730C">
        <w:trPr>
          <w:trHeight w:val="537"/>
        </w:trPr>
        <w:tc>
          <w:tcPr>
            <w:tcW w:w="6455" w:type="dxa"/>
          </w:tcPr>
          <w:p w14:paraId="16ACC2D9" w14:textId="32584008" w:rsidR="00E12AA5" w:rsidRPr="00C4762C" w:rsidRDefault="00E12AA5" w:rsidP="00C4762C">
            <w:pPr>
              <w:spacing w:line="240" w:lineRule="auto"/>
              <w:jc w:val="both"/>
              <w:rPr>
                <w:i/>
                <w:iCs/>
                <w:color w:val="FF0000"/>
                <w:szCs w:val="22"/>
              </w:rPr>
            </w:pPr>
            <w:proofErr w:type="spellStart"/>
            <w:r w:rsidRPr="00C4762C">
              <w:rPr>
                <w:i/>
                <w:iCs/>
                <w:szCs w:val="22"/>
              </w:rPr>
              <w:t>Haemophilus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influenzae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Moraxella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catarrhalis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Neisseria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meningitidis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Campylobacter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jejuni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a C. coli, </w:t>
            </w:r>
            <w:proofErr w:type="spellStart"/>
            <w:r w:rsidRPr="00C4762C">
              <w:rPr>
                <w:i/>
                <w:iCs/>
                <w:szCs w:val="22"/>
              </w:rPr>
              <w:t>Corynebacterium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spp</w:t>
            </w:r>
            <w:proofErr w:type="spellEnd"/>
            <w:r w:rsidRPr="00C4762C">
              <w:rPr>
                <w:i/>
                <w:iCs/>
                <w:szCs w:val="22"/>
              </w:rPr>
              <w:t>.</w:t>
            </w:r>
          </w:p>
        </w:tc>
        <w:tc>
          <w:tcPr>
            <w:tcW w:w="1342" w:type="dxa"/>
          </w:tcPr>
          <w:p w14:paraId="7CBBB3BA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2</w:t>
            </w:r>
          </w:p>
        </w:tc>
        <w:tc>
          <w:tcPr>
            <w:tcW w:w="1275" w:type="dxa"/>
          </w:tcPr>
          <w:p w14:paraId="47EAEFEA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2</w:t>
            </w:r>
          </w:p>
        </w:tc>
      </w:tr>
      <w:tr w:rsidR="00E12AA5" w:rsidRPr="00C4762C" w14:paraId="1B3DBC44" w14:textId="77777777" w:rsidTr="00B1730C">
        <w:trPr>
          <w:trHeight w:val="527"/>
        </w:trPr>
        <w:tc>
          <w:tcPr>
            <w:tcW w:w="6455" w:type="dxa"/>
          </w:tcPr>
          <w:p w14:paraId="52EF42DE" w14:textId="270ECF7D" w:rsidR="00E12AA5" w:rsidRPr="00C4762C" w:rsidRDefault="00E12AA5" w:rsidP="00C4762C">
            <w:pPr>
              <w:spacing w:line="240" w:lineRule="auto"/>
              <w:jc w:val="both"/>
              <w:rPr>
                <w:i/>
                <w:iCs/>
                <w:color w:val="FF0000"/>
                <w:szCs w:val="22"/>
              </w:rPr>
            </w:pPr>
            <w:proofErr w:type="spellStart"/>
            <w:r w:rsidRPr="00C4762C">
              <w:rPr>
                <w:i/>
                <w:iCs/>
                <w:szCs w:val="22"/>
              </w:rPr>
              <w:t>Staphylococcus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spp</w:t>
            </w:r>
            <w:proofErr w:type="spellEnd"/>
            <w:r w:rsidRPr="00C4762C">
              <w:rPr>
                <w:i/>
                <w:iCs/>
                <w:szCs w:val="22"/>
              </w:rPr>
              <w:t xml:space="preserve">., </w:t>
            </w:r>
            <w:proofErr w:type="spellStart"/>
            <w:r w:rsidRPr="00C4762C">
              <w:rPr>
                <w:i/>
                <w:iCs/>
                <w:szCs w:val="22"/>
              </w:rPr>
              <w:t>Streptococcus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r w:rsidR="007E5BA5" w:rsidRPr="00C4762C">
              <w:rPr>
                <w:szCs w:val="22"/>
              </w:rPr>
              <w:t>skupiny</w:t>
            </w:r>
            <w:r w:rsidRPr="00C4762C">
              <w:rPr>
                <w:i/>
                <w:iCs/>
                <w:szCs w:val="22"/>
              </w:rPr>
              <w:t xml:space="preserve"> A, B, C </w:t>
            </w:r>
            <w:r w:rsidRPr="00C4762C">
              <w:rPr>
                <w:szCs w:val="22"/>
              </w:rPr>
              <w:t>a</w:t>
            </w:r>
            <w:r w:rsidRPr="00C4762C">
              <w:rPr>
                <w:i/>
                <w:iCs/>
                <w:szCs w:val="22"/>
              </w:rPr>
              <w:t xml:space="preserve"> G, </w:t>
            </w:r>
            <w:proofErr w:type="spellStart"/>
            <w:r w:rsidRPr="00C4762C">
              <w:rPr>
                <w:i/>
                <w:iCs/>
                <w:szCs w:val="22"/>
              </w:rPr>
              <w:t>Streptococcus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pneumoniae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Helicobacter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pylori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Corynebacterium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diphtheriae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r w:rsidRPr="00C4762C">
              <w:rPr>
                <w:szCs w:val="22"/>
              </w:rPr>
              <w:t>a</w:t>
            </w:r>
            <w:r w:rsidRPr="00C4762C">
              <w:rPr>
                <w:i/>
                <w:iCs/>
                <w:szCs w:val="22"/>
              </w:rPr>
              <w:t xml:space="preserve"> C. </w:t>
            </w:r>
            <w:proofErr w:type="spellStart"/>
            <w:r w:rsidRPr="00C4762C">
              <w:rPr>
                <w:i/>
                <w:iCs/>
                <w:szCs w:val="22"/>
              </w:rPr>
              <w:t>ulcerans</w:t>
            </w:r>
            <w:proofErr w:type="spellEnd"/>
          </w:p>
        </w:tc>
        <w:tc>
          <w:tcPr>
            <w:tcW w:w="1342" w:type="dxa"/>
          </w:tcPr>
          <w:p w14:paraId="3FE51019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1</w:t>
            </w:r>
          </w:p>
        </w:tc>
        <w:tc>
          <w:tcPr>
            <w:tcW w:w="1275" w:type="dxa"/>
          </w:tcPr>
          <w:p w14:paraId="51A75391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1</w:t>
            </w:r>
          </w:p>
        </w:tc>
      </w:tr>
      <w:tr w:rsidR="00E12AA5" w:rsidRPr="00C4762C" w14:paraId="08F4EB28" w14:textId="77777777" w:rsidTr="00B1730C">
        <w:trPr>
          <w:trHeight w:val="274"/>
        </w:trPr>
        <w:tc>
          <w:tcPr>
            <w:tcW w:w="6455" w:type="dxa"/>
          </w:tcPr>
          <w:p w14:paraId="2A6C4755" w14:textId="77777777" w:rsidR="00E12AA5" w:rsidRPr="00C4762C" w:rsidRDefault="00E12AA5" w:rsidP="00C4762C">
            <w:pPr>
              <w:spacing w:line="240" w:lineRule="auto"/>
              <w:jc w:val="both"/>
              <w:rPr>
                <w:i/>
                <w:iCs/>
                <w:color w:val="FF0000"/>
                <w:szCs w:val="22"/>
              </w:rPr>
            </w:pPr>
            <w:proofErr w:type="spellStart"/>
            <w:r w:rsidRPr="00C4762C">
              <w:rPr>
                <w:i/>
                <w:iCs/>
                <w:szCs w:val="22"/>
              </w:rPr>
              <w:t>Neisseria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gonorrhoeae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Kingella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kingae</w:t>
            </w:r>
            <w:proofErr w:type="spellEnd"/>
            <w:r w:rsidRPr="00C4762C">
              <w:rPr>
                <w:i/>
                <w:iCs/>
                <w:szCs w:val="22"/>
              </w:rPr>
              <w:t xml:space="preserve">, </w:t>
            </w:r>
            <w:proofErr w:type="spellStart"/>
            <w:r w:rsidRPr="00C4762C">
              <w:rPr>
                <w:i/>
                <w:iCs/>
                <w:szCs w:val="22"/>
              </w:rPr>
              <w:t>Brucella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melitensis</w:t>
            </w:r>
            <w:proofErr w:type="spellEnd"/>
          </w:p>
        </w:tc>
        <w:tc>
          <w:tcPr>
            <w:tcW w:w="1342" w:type="dxa"/>
          </w:tcPr>
          <w:p w14:paraId="16F95E6D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0,5</w:t>
            </w:r>
          </w:p>
        </w:tc>
        <w:tc>
          <w:tcPr>
            <w:tcW w:w="1275" w:type="dxa"/>
          </w:tcPr>
          <w:p w14:paraId="77A82734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0,5</w:t>
            </w:r>
          </w:p>
        </w:tc>
      </w:tr>
      <w:tr w:rsidR="00E12AA5" w:rsidRPr="00C4762C" w14:paraId="49E65C9F" w14:textId="77777777" w:rsidTr="00B1730C">
        <w:trPr>
          <w:trHeight w:val="263"/>
        </w:trPr>
        <w:tc>
          <w:tcPr>
            <w:tcW w:w="6455" w:type="dxa"/>
          </w:tcPr>
          <w:p w14:paraId="36EE1B59" w14:textId="77777777" w:rsidR="00E12AA5" w:rsidRPr="00C4762C" w:rsidRDefault="00E12AA5" w:rsidP="00C4762C">
            <w:pPr>
              <w:spacing w:line="240" w:lineRule="auto"/>
              <w:jc w:val="both"/>
              <w:rPr>
                <w:i/>
                <w:iCs/>
                <w:color w:val="FF0000"/>
                <w:szCs w:val="22"/>
              </w:rPr>
            </w:pPr>
            <w:proofErr w:type="spellStart"/>
            <w:r w:rsidRPr="00C4762C">
              <w:rPr>
                <w:i/>
                <w:iCs/>
                <w:szCs w:val="22"/>
              </w:rPr>
              <w:t>Bacillus</w:t>
            </w:r>
            <w:proofErr w:type="spellEnd"/>
            <w:r w:rsidRPr="00C4762C">
              <w:rPr>
                <w:i/>
                <w:iCs/>
                <w:szCs w:val="22"/>
              </w:rPr>
              <w:t xml:space="preserve"> </w:t>
            </w:r>
            <w:proofErr w:type="spellStart"/>
            <w:r w:rsidRPr="00C4762C">
              <w:rPr>
                <w:i/>
                <w:iCs/>
                <w:szCs w:val="22"/>
              </w:rPr>
              <w:t>anthracis</w:t>
            </w:r>
            <w:proofErr w:type="spellEnd"/>
          </w:p>
        </w:tc>
        <w:tc>
          <w:tcPr>
            <w:tcW w:w="1342" w:type="dxa"/>
          </w:tcPr>
          <w:p w14:paraId="679BF98D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0,125</w:t>
            </w:r>
          </w:p>
        </w:tc>
        <w:tc>
          <w:tcPr>
            <w:tcW w:w="1275" w:type="dxa"/>
          </w:tcPr>
          <w:p w14:paraId="65C1765B" w14:textId="77777777" w:rsidR="00E12AA5" w:rsidRPr="00C4762C" w:rsidRDefault="00E12AA5" w:rsidP="00C4762C">
            <w:pPr>
              <w:spacing w:line="240" w:lineRule="auto"/>
              <w:jc w:val="center"/>
              <w:rPr>
                <w:szCs w:val="22"/>
              </w:rPr>
            </w:pPr>
            <w:r w:rsidRPr="00C4762C">
              <w:rPr>
                <w:szCs w:val="22"/>
              </w:rPr>
              <w:t>0,125</w:t>
            </w:r>
          </w:p>
        </w:tc>
      </w:tr>
    </w:tbl>
    <w:p w14:paraId="7FDB3558" w14:textId="77777777" w:rsidR="006B43AE" w:rsidRPr="00C4762C" w:rsidRDefault="006B43AE" w:rsidP="00C4762C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269B37AD" w:rsidR="00C114FF" w:rsidRPr="00C4762C" w:rsidRDefault="00E87590" w:rsidP="00550E1E">
      <w:pPr>
        <w:pStyle w:val="Style1"/>
        <w:jc w:val="both"/>
      </w:pPr>
      <w:r w:rsidRPr="00C4762C">
        <w:t>4.3</w:t>
      </w:r>
      <w:r w:rsidRPr="00C4762C">
        <w:tab/>
        <w:t>Farmakokinetika</w:t>
      </w:r>
    </w:p>
    <w:p w14:paraId="041767DA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A06DF6E" w14:textId="710CD5C7" w:rsidR="00C114FF" w:rsidRPr="00C4762C" w:rsidRDefault="006B43AE" w:rsidP="00550E1E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C4762C">
        <w:rPr>
          <w:bCs/>
          <w:szCs w:val="22"/>
        </w:rPr>
        <w:t xml:space="preserve">Oxytetracyklin se velmi dobře absorbuje ze střeva, přičemž tento proces je značně ovlivněn přítomností bivalentních kationtů, např. vápníku. Absorpce je vyšší u savců, nižší u drůbeže; obecně se procento vstřebaného oxytetracyklinu po perorálním podání pohybuje mezi 60-80 % dávky. Oxytetracyklin je dobře distribuován do tkání organismu, do </w:t>
      </w:r>
      <w:r w:rsidR="00C01298" w:rsidRPr="00C01298">
        <w:rPr>
          <w:bCs/>
          <w:szCs w:val="22"/>
        </w:rPr>
        <w:t>mozkomíšního moku proniká</w:t>
      </w:r>
      <w:r w:rsidR="00C01298">
        <w:rPr>
          <w:bCs/>
          <w:szCs w:val="22"/>
        </w:rPr>
        <w:t xml:space="preserve"> </w:t>
      </w:r>
      <w:r w:rsidRPr="00C4762C">
        <w:rPr>
          <w:bCs/>
          <w:szCs w:val="22"/>
        </w:rPr>
        <w:t>jen při zánětlivých procesech. Nejvyšší koncentrace jsou dosaženy v plicích, ledvinách, játrech a žluči. Ukládá se nevratně ve vyvíjejících se tvrdých tkáních. V závislosti na druhu zvířat je 50-</w:t>
      </w:r>
      <w:proofErr w:type="gramStart"/>
      <w:r w:rsidRPr="00C4762C">
        <w:rPr>
          <w:bCs/>
          <w:szCs w:val="22"/>
        </w:rPr>
        <w:t>80%</w:t>
      </w:r>
      <w:proofErr w:type="gramEnd"/>
      <w:r w:rsidRPr="00C4762C">
        <w:rPr>
          <w:bCs/>
          <w:szCs w:val="22"/>
        </w:rPr>
        <w:t xml:space="preserve"> absorbovaného oxytetracyklinu eliminováno močovými cestami a asi 10% prostřednictvím výkalů. Poločas eliminace oxytetracyklinu je u většiny zvířat cca 9,5 hod.</w:t>
      </w:r>
    </w:p>
    <w:p w14:paraId="447A6E16" w14:textId="77777777" w:rsidR="00E12AA5" w:rsidRPr="00C4762C" w:rsidRDefault="00E12AA5" w:rsidP="00550E1E">
      <w:pPr>
        <w:pStyle w:val="Normlnweb"/>
        <w:spacing w:before="0" w:beforeAutospacing="0" w:after="0" w:afterAutospacing="0"/>
        <w:jc w:val="both"/>
        <w:rPr>
          <w:sz w:val="22"/>
          <w:szCs w:val="22"/>
          <w:lang w:val="cs-CZ"/>
        </w:rPr>
      </w:pPr>
      <w:r w:rsidRPr="00C4762C">
        <w:rPr>
          <w:sz w:val="22"/>
          <w:szCs w:val="22"/>
          <w:lang w:val="cs-CZ"/>
        </w:rPr>
        <w:t>Níže jsou uvedeny některé farmakokinetické údaje po perorálním podání:</w:t>
      </w:r>
    </w:p>
    <w:p w14:paraId="57B46A57" w14:textId="76BD6A5F" w:rsidR="00E12AA5" w:rsidRPr="00C4762C" w:rsidRDefault="00E12AA5" w:rsidP="00550E1E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C4762C">
        <w:rPr>
          <w:b/>
          <w:bCs/>
          <w:sz w:val="22"/>
          <w:szCs w:val="22"/>
        </w:rPr>
        <w:t>Prasata:</w:t>
      </w:r>
      <w:r w:rsidRPr="00C4762C">
        <w:rPr>
          <w:sz w:val="22"/>
          <w:szCs w:val="22"/>
        </w:rPr>
        <w:t xml:space="preserve"> C</w:t>
      </w:r>
      <w:r w:rsidRPr="00C4762C">
        <w:rPr>
          <w:sz w:val="22"/>
          <w:szCs w:val="22"/>
          <w:vertAlign w:val="subscript"/>
        </w:rPr>
        <w:t>max</w:t>
      </w:r>
      <w:r w:rsidRPr="00C4762C">
        <w:rPr>
          <w:sz w:val="22"/>
          <w:szCs w:val="22"/>
        </w:rPr>
        <w:t xml:space="preserve">: 0,3418 μg/ml – </w:t>
      </w:r>
      <w:r w:rsidR="007E5BA5" w:rsidRPr="00C4762C">
        <w:rPr>
          <w:sz w:val="22"/>
          <w:szCs w:val="22"/>
        </w:rPr>
        <w:t>t</w:t>
      </w:r>
      <w:r w:rsidRPr="00C4762C">
        <w:rPr>
          <w:sz w:val="22"/>
          <w:szCs w:val="22"/>
          <w:vertAlign w:val="subscript"/>
        </w:rPr>
        <w:t>max</w:t>
      </w:r>
      <w:r w:rsidRPr="00C4762C">
        <w:rPr>
          <w:sz w:val="22"/>
          <w:szCs w:val="22"/>
        </w:rPr>
        <w:t xml:space="preserve">: 3,9 hod. – </w:t>
      </w:r>
      <w:r w:rsidR="007E5BA5" w:rsidRPr="00C4762C">
        <w:rPr>
          <w:sz w:val="22"/>
          <w:szCs w:val="22"/>
        </w:rPr>
        <w:t>t</w:t>
      </w:r>
      <w:r w:rsidRPr="00C4762C">
        <w:rPr>
          <w:sz w:val="22"/>
          <w:szCs w:val="22"/>
        </w:rPr>
        <w:t xml:space="preserve"> </w:t>
      </w:r>
      <w:r w:rsidRPr="00C4762C">
        <w:rPr>
          <w:sz w:val="22"/>
          <w:szCs w:val="22"/>
          <w:vertAlign w:val="subscript"/>
        </w:rPr>
        <w:t>½</w:t>
      </w:r>
      <w:r w:rsidRPr="00C4762C">
        <w:rPr>
          <w:sz w:val="22"/>
          <w:szCs w:val="22"/>
        </w:rPr>
        <w:t>: 9,7 hod. – AUC: 6,3814 μg/hod./ml</w:t>
      </w:r>
      <w:r w:rsidR="007E5BA5" w:rsidRPr="00C4762C">
        <w:rPr>
          <w:sz w:val="22"/>
          <w:szCs w:val="22"/>
        </w:rPr>
        <w:t>.</w:t>
      </w:r>
    </w:p>
    <w:p w14:paraId="48A10141" w14:textId="77777777" w:rsidR="00E12AA5" w:rsidRPr="00C4762C" w:rsidRDefault="00E12AA5" w:rsidP="00C4762C">
      <w:pPr>
        <w:tabs>
          <w:tab w:val="clear" w:pos="567"/>
        </w:tabs>
        <w:spacing w:line="240" w:lineRule="auto"/>
        <w:rPr>
          <w:bCs/>
          <w:szCs w:val="22"/>
        </w:rPr>
      </w:pPr>
    </w:p>
    <w:p w14:paraId="44B643E5" w14:textId="77777777" w:rsidR="00C114FF" w:rsidRPr="00C4762C" w:rsidRDefault="00C114FF" w:rsidP="00C4762C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C4762C" w:rsidRDefault="00E87590" w:rsidP="00550E1E">
      <w:pPr>
        <w:pStyle w:val="Style1"/>
        <w:jc w:val="both"/>
      </w:pPr>
      <w:r w:rsidRPr="00C4762C">
        <w:t>5.</w:t>
      </w:r>
      <w:r w:rsidRPr="00C4762C">
        <w:tab/>
        <w:t>FARMACEUTICKÉ ÚDAJE</w:t>
      </w:r>
    </w:p>
    <w:p w14:paraId="0727FC5D" w14:textId="77777777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E8B708" w14:textId="77777777" w:rsidR="00C114FF" w:rsidRPr="00C4762C" w:rsidRDefault="00E87590" w:rsidP="00550E1E">
      <w:pPr>
        <w:pStyle w:val="Style1"/>
        <w:jc w:val="both"/>
      </w:pPr>
      <w:r w:rsidRPr="00C4762C">
        <w:t>5.1</w:t>
      </w:r>
      <w:r w:rsidRPr="00C4762C">
        <w:tab/>
        <w:t>Hlavní inkompatibility</w:t>
      </w:r>
    </w:p>
    <w:p w14:paraId="15C29130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88F0D5C" w14:textId="2A55AAD9" w:rsidR="00C114FF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Nadměrná přítomnost iontů vápníku a hořčíku v krmivu. </w:t>
      </w:r>
    </w:p>
    <w:p w14:paraId="10FDD62E" w14:textId="3388235F" w:rsidR="0081238C" w:rsidRPr="00C4762C" w:rsidRDefault="0081238C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5" w:name="_Hlk234224869"/>
      <w:r w:rsidRPr="00C4762C">
        <w:rPr>
          <w:szCs w:val="22"/>
        </w:rPr>
        <w:t>Studie kompatibility nejsou k dispozici, a proto tento veterinární léčivý přípravek nesmí být mísen s</w:t>
      </w:r>
      <w:r w:rsidR="00550E1E">
        <w:rPr>
          <w:szCs w:val="22"/>
        </w:rPr>
        <w:t> </w:t>
      </w:r>
      <w:r w:rsidRPr="00C4762C">
        <w:rPr>
          <w:szCs w:val="22"/>
        </w:rPr>
        <w:t>žádnými dalšími veterinárními léčivými přípravky.</w:t>
      </w:r>
    </w:p>
    <w:bookmarkEnd w:id="5"/>
    <w:p w14:paraId="1DE053C6" w14:textId="77777777" w:rsidR="006B43AE" w:rsidRPr="00C4762C" w:rsidRDefault="006B43A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3005D63" w14:textId="77777777" w:rsidR="00C114FF" w:rsidRPr="00C4762C" w:rsidRDefault="00E87590" w:rsidP="00550E1E">
      <w:pPr>
        <w:pStyle w:val="Style1"/>
        <w:jc w:val="both"/>
      </w:pPr>
      <w:r w:rsidRPr="00C4762C">
        <w:t>5.2</w:t>
      </w:r>
      <w:r w:rsidRPr="00C4762C">
        <w:tab/>
        <w:t>Doba použitelnosti</w:t>
      </w:r>
    </w:p>
    <w:p w14:paraId="100B6613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9F50123" w14:textId="5C215DE4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Doba použitelnosti veterinárního léčivého přípravku v neporušeném obalu: 2 roky.</w:t>
      </w:r>
    </w:p>
    <w:p w14:paraId="1739623A" w14:textId="71BA786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Doba použitelnosti po prvním otevření vnitřního obalu: 3 měsíce</w:t>
      </w:r>
    </w:p>
    <w:p w14:paraId="4CD9C987" w14:textId="0F79FBA1" w:rsidR="00C114FF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Doba použitelnosti po zamíchání do krmiva: 3 měsíce</w:t>
      </w:r>
    </w:p>
    <w:p w14:paraId="6744A30F" w14:textId="7777777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A152485" w14:textId="77777777" w:rsidR="00C114FF" w:rsidRPr="00C4762C" w:rsidRDefault="00E87590" w:rsidP="00550E1E">
      <w:pPr>
        <w:pStyle w:val="Style1"/>
        <w:jc w:val="both"/>
      </w:pPr>
      <w:r w:rsidRPr="00C4762C">
        <w:t>5.3</w:t>
      </w:r>
      <w:r w:rsidRPr="00C4762C">
        <w:tab/>
        <w:t>Zvláštní opatření pro uchovávání</w:t>
      </w:r>
    </w:p>
    <w:p w14:paraId="7826F268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916F53D" w14:textId="7777777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Uchovávejte při teplotě do 25°C.</w:t>
      </w:r>
    </w:p>
    <w:p w14:paraId="205A4A8C" w14:textId="50CAD15F" w:rsidR="00C114FF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Uchovávejte v suchu.</w:t>
      </w:r>
    </w:p>
    <w:p w14:paraId="3FE4962C" w14:textId="7777777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EAA46B" w14:textId="56CE0F50" w:rsidR="00C114FF" w:rsidRPr="00C4762C" w:rsidRDefault="00E87590" w:rsidP="00550E1E">
      <w:pPr>
        <w:pStyle w:val="Style1"/>
        <w:jc w:val="both"/>
      </w:pPr>
      <w:r w:rsidRPr="00C4762C">
        <w:t>5.4</w:t>
      </w:r>
      <w:r w:rsidRPr="00C4762C">
        <w:tab/>
        <w:t>Druh a složení vnitřního obalu</w:t>
      </w:r>
    </w:p>
    <w:p w14:paraId="3EB26241" w14:textId="77777777" w:rsidR="00C114FF" w:rsidRPr="00C4762C" w:rsidRDefault="00C114FF" w:rsidP="00550E1E">
      <w:pPr>
        <w:pStyle w:val="Style1"/>
        <w:jc w:val="both"/>
      </w:pPr>
    </w:p>
    <w:p w14:paraId="3CA2EEE3" w14:textId="19A9ECE0" w:rsidR="006C2B4F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6" w:name="_Hlk233973507"/>
      <w:r w:rsidRPr="00C4762C">
        <w:rPr>
          <w:szCs w:val="22"/>
        </w:rPr>
        <w:t xml:space="preserve">Obal </w:t>
      </w:r>
      <w:r w:rsidR="006C2B4F">
        <w:rPr>
          <w:szCs w:val="22"/>
        </w:rPr>
        <w:t>po</w:t>
      </w:r>
      <w:r w:rsidR="006C2B4F" w:rsidRPr="00C4762C">
        <w:rPr>
          <w:szCs w:val="22"/>
        </w:rPr>
        <w:t xml:space="preserve"> </w:t>
      </w:r>
      <w:r w:rsidRPr="00C4762C">
        <w:rPr>
          <w:szCs w:val="22"/>
        </w:rPr>
        <w:t>1 kg: Krabice z PE válcového tvaru,</w:t>
      </w:r>
      <w:r w:rsidR="006C2B4F">
        <w:rPr>
          <w:szCs w:val="22"/>
        </w:rPr>
        <w:t xml:space="preserve"> </w:t>
      </w:r>
      <w:r w:rsidRPr="00C4762C">
        <w:rPr>
          <w:szCs w:val="22"/>
        </w:rPr>
        <w:t xml:space="preserve">obal opatřený pojistkou. </w:t>
      </w:r>
    </w:p>
    <w:p w14:paraId="56FAD187" w14:textId="066A007E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Ostatní obaly: vícevrstvý papírový pytel s vnitřní PE folií,</w:t>
      </w:r>
      <w:r w:rsidR="001627BE" w:rsidRPr="00C4762C">
        <w:rPr>
          <w:szCs w:val="22"/>
        </w:rPr>
        <w:t xml:space="preserve"> </w:t>
      </w:r>
      <w:r w:rsidRPr="00C4762C">
        <w:rPr>
          <w:szCs w:val="22"/>
        </w:rPr>
        <w:t xml:space="preserve">uzavřený prošitím. Příbalová informace </w:t>
      </w:r>
      <w:r w:rsidR="00B061EF" w:rsidRPr="00C4762C">
        <w:rPr>
          <w:szCs w:val="22"/>
        </w:rPr>
        <w:t>u</w:t>
      </w:r>
      <w:r w:rsidR="00B061EF">
        <w:rPr>
          <w:szCs w:val="22"/>
        </w:rPr>
        <w:t> </w:t>
      </w:r>
      <w:r w:rsidRPr="00C4762C">
        <w:rPr>
          <w:szCs w:val="22"/>
        </w:rPr>
        <w:t>všech obalů na etiketě.</w:t>
      </w:r>
    </w:p>
    <w:p w14:paraId="6F45046D" w14:textId="7777777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Velikost balení: 1 kg, 5 kg, 10 kg, 25 kg.</w:t>
      </w:r>
    </w:p>
    <w:p w14:paraId="584B339F" w14:textId="45C7C860" w:rsidR="00C114FF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lastRenderedPageBreak/>
        <w:t>Na trhu nemusí být všechny velikosti balení.</w:t>
      </w:r>
    </w:p>
    <w:bookmarkEnd w:id="6"/>
    <w:p w14:paraId="01677BEA" w14:textId="77777777" w:rsidR="0059792B" w:rsidRPr="00C4762C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80835CC" w14:textId="74323501" w:rsidR="00C114FF" w:rsidRPr="00C4762C" w:rsidRDefault="00E87590" w:rsidP="00550E1E">
      <w:pPr>
        <w:pStyle w:val="Style1"/>
        <w:jc w:val="both"/>
      </w:pPr>
      <w:r w:rsidRPr="00C4762C">
        <w:t>5.5</w:t>
      </w:r>
      <w:r w:rsidRPr="00C4762C">
        <w:tab/>
        <w:t xml:space="preserve">Zvláštní opatření pro </w:t>
      </w:r>
      <w:r w:rsidR="00CF069C" w:rsidRPr="00C4762C">
        <w:t xml:space="preserve">likvidaci </w:t>
      </w:r>
      <w:r w:rsidRPr="00C4762C">
        <w:t>nepoužit</w:t>
      </w:r>
      <w:r w:rsidR="002F64C6" w:rsidRPr="00C4762C">
        <w:t>ých</w:t>
      </w:r>
      <w:r w:rsidR="00905CAB" w:rsidRPr="00C4762C">
        <w:t xml:space="preserve"> </w:t>
      </w:r>
      <w:r w:rsidRPr="00C4762C">
        <w:t>veterinární</w:t>
      </w:r>
      <w:r w:rsidR="002F64C6" w:rsidRPr="00C4762C">
        <w:t>ch</w:t>
      </w:r>
      <w:r w:rsidRPr="00C4762C">
        <w:t xml:space="preserve"> léčiv</w:t>
      </w:r>
      <w:r w:rsidR="002F64C6" w:rsidRPr="00C4762C">
        <w:t>ých</w:t>
      </w:r>
      <w:r w:rsidRPr="00C4762C">
        <w:t xml:space="preserve"> přípravk</w:t>
      </w:r>
      <w:r w:rsidR="002F64C6" w:rsidRPr="00C4762C">
        <w:t>ů</w:t>
      </w:r>
      <w:r w:rsidRPr="00C4762C">
        <w:t xml:space="preserve"> nebo odpad</w:t>
      </w:r>
      <w:r w:rsidR="00F84AED" w:rsidRPr="00C4762C">
        <w:t>ů</w:t>
      </w:r>
      <w:r w:rsidR="00B36E65" w:rsidRPr="00C4762C">
        <w:t>, kter</w:t>
      </w:r>
      <w:r w:rsidR="00F84AED" w:rsidRPr="00C4762C">
        <w:t>é</w:t>
      </w:r>
      <w:r w:rsidRPr="00C4762C">
        <w:t xml:space="preserve"> pocház</w:t>
      </w:r>
      <w:r w:rsidR="00B36E65" w:rsidRPr="00C4762C">
        <w:t>í</w:t>
      </w:r>
      <w:r w:rsidRPr="00C4762C">
        <w:t xml:space="preserve"> z</w:t>
      </w:r>
      <w:r w:rsidR="002F64C6" w:rsidRPr="00C4762C">
        <w:t> </w:t>
      </w:r>
      <w:r w:rsidRPr="00C4762C">
        <w:t>t</w:t>
      </w:r>
      <w:r w:rsidR="002F64C6" w:rsidRPr="00C4762C">
        <w:t xml:space="preserve">ěchto </w:t>
      </w:r>
      <w:r w:rsidRPr="00C4762C">
        <w:t>přípravk</w:t>
      </w:r>
      <w:r w:rsidR="002F64C6" w:rsidRPr="00C4762C">
        <w:t>ů</w:t>
      </w:r>
    </w:p>
    <w:p w14:paraId="4E04C78C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6B9C8C5" w14:textId="6A168584" w:rsidR="00833935" w:rsidRDefault="00F1178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 xml:space="preserve">Léčivé přípravky se nesmí likvidovat prostřednictvím odpadní vody či domovního odpadu. </w:t>
      </w:r>
    </w:p>
    <w:p w14:paraId="42D2D2CF" w14:textId="3F87EB45" w:rsidR="0078538F" w:rsidRDefault="00F1178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</w:t>
      </w:r>
      <w:r w:rsidR="00833935">
        <w:rPr>
          <w:szCs w:val="22"/>
        </w:rPr>
        <w:t>.</w:t>
      </w:r>
    </w:p>
    <w:p w14:paraId="5C597A66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6949C1A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E3550B0" w14:textId="77777777" w:rsidR="00C114FF" w:rsidRPr="00C4762C" w:rsidRDefault="00E87590" w:rsidP="00550E1E">
      <w:pPr>
        <w:pStyle w:val="Style1"/>
        <w:keepNext/>
        <w:jc w:val="both"/>
      </w:pPr>
      <w:r w:rsidRPr="00C4762C">
        <w:t>6.</w:t>
      </w:r>
      <w:r w:rsidRPr="00C4762C">
        <w:tab/>
        <w:t>JMÉNO DRŽITELE ROZHODNUTÍ O REGISTRACI</w:t>
      </w:r>
    </w:p>
    <w:p w14:paraId="2E652F1A" w14:textId="77777777" w:rsidR="00C114FF" w:rsidRPr="00C4762C" w:rsidRDefault="00C114FF" w:rsidP="00550E1E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1F61240C" w14:textId="4F416B77" w:rsidR="00C114FF" w:rsidRDefault="001B0B30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hyperlink r:id="rId8" w:history="1">
        <w:proofErr w:type="spellStart"/>
        <w:r w:rsidR="00E12AA5" w:rsidRPr="00B1730C">
          <w:rPr>
            <w:rStyle w:val="Hypertextovodkaz"/>
            <w:color w:val="auto"/>
            <w:szCs w:val="22"/>
          </w:rPr>
          <w:t>Chemifarma</w:t>
        </w:r>
        <w:proofErr w:type="spellEnd"/>
      </w:hyperlink>
      <w:r w:rsidR="00E12AA5" w:rsidRPr="007417BE">
        <w:rPr>
          <w:szCs w:val="22"/>
        </w:rPr>
        <w:t xml:space="preserve"> </w:t>
      </w:r>
      <w:proofErr w:type="spellStart"/>
      <w:r w:rsidR="00E12AA5" w:rsidRPr="007417BE">
        <w:rPr>
          <w:szCs w:val="22"/>
        </w:rPr>
        <w:t>S.p.A</w:t>
      </w:r>
      <w:proofErr w:type="spellEnd"/>
      <w:r w:rsidR="00E12AA5" w:rsidRPr="007417BE">
        <w:rPr>
          <w:szCs w:val="22"/>
        </w:rPr>
        <w:t>.</w:t>
      </w:r>
    </w:p>
    <w:p w14:paraId="235BC9FB" w14:textId="77777777" w:rsidR="00833935" w:rsidRPr="007417BE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B09C60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E6BFBAC" w14:textId="77777777" w:rsidR="00C114FF" w:rsidRPr="00C4762C" w:rsidRDefault="00E87590" w:rsidP="00550E1E">
      <w:pPr>
        <w:pStyle w:val="Style1"/>
        <w:jc w:val="both"/>
      </w:pPr>
      <w:r w:rsidRPr="00C4762C">
        <w:t>7.</w:t>
      </w:r>
      <w:r w:rsidRPr="00C4762C">
        <w:tab/>
        <w:t>REGISTRAČNÍ ČÍSLO(A)</w:t>
      </w:r>
    </w:p>
    <w:p w14:paraId="1FA2C56F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77F8409" w14:textId="1360653F" w:rsidR="0059792B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98/071/</w:t>
      </w:r>
      <w:proofErr w:type="gramStart"/>
      <w:r w:rsidRPr="00C4762C">
        <w:rPr>
          <w:szCs w:val="22"/>
        </w:rPr>
        <w:t>01-C</w:t>
      </w:r>
      <w:proofErr w:type="gramEnd"/>
    </w:p>
    <w:p w14:paraId="7418EB2A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7D05E5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1580279" w14:textId="77777777" w:rsidR="00C114FF" w:rsidRPr="00C4762C" w:rsidRDefault="00E87590" w:rsidP="00550E1E">
      <w:pPr>
        <w:pStyle w:val="Style1"/>
        <w:jc w:val="both"/>
      </w:pPr>
      <w:r w:rsidRPr="00C4762C">
        <w:t>8.</w:t>
      </w:r>
      <w:r w:rsidRPr="00C4762C">
        <w:tab/>
        <w:t>DATUM PRVNÍ REGISTRACE</w:t>
      </w:r>
    </w:p>
    <w:p w14:paraId="3863C575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69AE9C0" w14:textId="2B521639" w:rsidR="00D65777" w:rsidRDefault="0059792B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16</w:t>
      </w:r>
      <w:r w:rsidR="00E12AA5" w:rsidRPr="00C4762C">
        <w:rPr>
          <w:szCs w:val="22"/>
        </w:rPr>
        <w:t>/</w:t>
      </w:r>
      <w:r w:rsidRPr="00C4762C">
        <w:rPr>
          <w:szCs w:val="22"/>
        </w:rPr>
        <w:t>10</w:t>
      </w:r>
      <w:r w:rsidR="00E12AA5" w:rsidRPr="00C4762C">
        <w:rPr>
          <w:szCs w:val="22"/>
        </w:rPr>
        <w:t>/</w:t>
      </w:r>
      <w:r w:rsidRPr="00C4762C">
        <w:rPr>
          <w:szCs w:val="22"/>
        </w:rPr>
        <w:t>2001</w:t>
      </w:r>
    </w:p>
    <w:p w14:paraId="2E471A27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0B0A25D" w14:textId="77777777" w:rsidR="00D65777" w:rsidRPr="00C4762C" w:rsidRDefault="00D65777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351B24F" w14:textId="77777777" w:rsidR="00C114FF" w:rsidRPr="00C4762C" w:rsidRDefault="00E87590" w:rsidP="00550E1E">
      <w:pPr>
        <w:pStyle w:val="Style1"/>
        <w:jc w:val="both"/>
      </w:pPr>
      <w:r w:rsidRPr="00C4762C">
        <w:t>9.</w:t>
      </w:r>
      <w:r w:rsidRPr="00C4762C">
        <w:tab/>
        <w:t>DATUM POSLEDNÍ AKTUALIZACE SOUHRNU ÚDAJŮ O PŘÍPRAVKU</w:t>
      </w:r>
    </w:p>
    <w:p w14:paraId="30326986" w14:textId="77777777" w:rsidR="00C114FF" w:rsidRPr="00C4762C" w:rsidRDefault="00C114F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4434F8" w14:textId="620528B7" w:rsidR="0078538F" w:rsidRDefault="00E12AA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0</w:t>
      </w:r>
      <w:r w:rsidR="009C5BCB">
        <w:rPr>
          <w:szCs w:val="22"/>
        </w:rPr>
        <w:t>9</w:t>
      </w:r>
      <w:bookmarkStart w:id="7" w:name="_GoBack"/>
      <w:bookmarkEnd w:id="7"/>
      <w:r w:rsidRPr="00C4762C">
        <w:rPr>
          <w:szCs w:val="22"/>
        </w:rPr>
        <w:t>/2026</w:t>
      </w:r>
    </w:p>
    <w:p w14:paraId="75108FF8" w14:textId="77777777" w:rsidR="00833935" w:rsidRPr="00C4762C" w:rsidRDefault="0083393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DB0E157" w14:textId="77777777" w:rsidR="00B113B9" w:rsidRPr="00C4762C" w:rsidRDefault="00B113B9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C198E0" w14:textId="77777777" w:rsidR="00C114FF" w:rsidRPr="00C4762C" w:rsidRDefault="00E87590" w:rsidP="00550E1E">
      <w:pPr>
        <w:pStyle w:val="Style1"/>
        <w:jc w:val="both"/>
      </w:pPr>
      <w:r w:rsidRPr="00C4762C">
        <w:t>10.</w:t>
      </w:r>
      <w:r w:rsidRPr="00C4762C">
        <w:tab/>
        <w:t>KLASIFIKACE VETERINÁRNÍCH LÉČIVÝCH PŘÍPRAVKŮ</w:t>
      </w:r>
    </w:p>
    <w:p w14:paraId="1F12B426" w14:textId="77777777" w:rsidR="0078538F" w:rsidRPr="00C4762C" w:rsidRDefault="0078538F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991F0EA" w14:textId="77777777" w:rsidR="00727D15" w:rsidRPr="00C4762C" w:rsidRDefault="00727D1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4762C">
        <w:rPr>
          <w:szCs w:val="22"/>
        </w:rPr>
        <w:t>Veterinární léčivý přípravek je vydáván pouze na předpis.</w:t>
      </w:r>
    </w:p>
    <w:p w14:paraId="3ED4051E" w14:textId="77777777" w:rsidR="00727D15" w:rsidRPr="00C4762C" w:rsidRDefault="00727D15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6B6956" w14:textId="77777777" w:rsidR="007417BE" w:rsidRPr="00A84992" w:rsidRDefault="007417BE" w:rsidP="00550E1E">
      <w:pPr>
        <w:spacing w:line="240" w:lineRule="auto"/>
        <w:jc w:val="both"/>
        <w:rPr>
          <w:rStyle w:val="markedcontent"/>
        </w:rPr>
      </w:pPr>
      <w:r w:rsidRPr="00A84992">
        <w:rPr>
          <w:rStyle w:val="markedcontent"/>
        </w:rPr>
        <w:t>Podrobné informace o tomto veterinárním léčivém přípravku jsou k dispozici v databázi přípravků Unie (</w:t>
      </w:r>
      <w:hyperlink r:id="rId9" w:history="1">
        <w:r w:rsidRPr="00A84992">
          <w:rPr>
            <w:rStyle w:val="Hypertextovodkaz"/>
          </w:rPr>
          <w:t>https://medicines.health.europa.eu/veterinary</w:t>
        </w:r>
      </w:hyperlink>
      <w:r w:rsidRPr="00A84992">
        <w:rPr>
          <w:rStyle w:val="markedcontent"/>
        </w:rPr>
        <w:t>).</w:t>
      </w:r>
    </w:p>
    <w:p w14:paraId="72BBFD3F" w14:textId="23B21E2E" w:rsidR="005F346D" w:rsidRDefault="005F346D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DE415B" w14:textId="77777777" w:rsidR="007417BE" w:rsidRPr="00A84992" w:rsidRDefault="007417BE" w:rsidP="00550E1E">
      <w:pPr>
        <w:spacing w:line="240" w:lineRule="auto"/>
        <w:jc w:val="both"/>
        <w:rPr>
          <w:rStyle w:val="markedcontent"/>
        </w:rPr>
      </w:pPr>
      <w:bookmarkStart w:id="8" w:name="_Hlk206662386"/>
      <w:r w:rsidRPr="00A84992">
        <w:rPr>
          <w:rStyle w:val="markedcontent"/>
        </w:rPr>
        <w:t>Podrobné informace o tomto veterinárním léčivém přípravku naleznete také v národní databázi (</w:t>
      </w:r>
      <w:hyperlink r:id="rId10" w:history="1">
        <w:r w:rsidRPr="00A84992">
          <w:rPr>
            <w:rStyle w:val="Hypertextovodkaz"/>
          </w:rPr>
          <w:t>https://www.uskvbl.cz</w:t>
        </w:r>
      </w:hyperlink>
      <w:r w:rsidRPr="00A84992">
        <w:rPr>
          <w:rStyle w:val="markedcontent"/>
        </w:rPr>
        <w:t xml:space="preserve">). </w:t>
      </w:r>
    </w:p>
    <w:bookmarkEnd w:id="8"/>
    <w:p w14:paraId="033C9651" w14:textId="77777777" w:rsidR="007417BE" w:rsidRPr="00C4762C" w:rsidRDefault="007417BE" w:rsidP="00550E1E">
      <w:pPr>
        <w:tabs>
          <w:tab w:val="clear" w:pos="567"/>
        </w:tabs>
        <w:spacing w:line="240" w:lineRule="auto"/>
        <w:jc w:val="both"/>
        <w:rPr>
          <w:szCs w:val="22"/>
        </w:rPr>
      </w:pPr>
    </w:p>
    <w:sectPr w:rsidR="007417BE" w:rsidRPr="00C4762C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8F1CAD" w16cex:dateUtc="2026-07-06T13:0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FD4C6" w14:textId="77777777" w:rsidR="001B0B30" w:rsidRDefault="001B0B30">
      <w:pPr>
        <w:spacing w:line="240" w:lineRule="auto"/>
      </w:pPr>
      <w:r>
        <w:separator/>
      </w:r>
    </w:p>
  </w:endnote>
  <w:endnote w:type="continuationSeparator" w:id="0">
    <w:p w14:paraId="613ED6C0" w14:textId="77777777" w:rsidR="001B0B30" w:rsidRDefault="001B0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E8759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E8759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F8B76" w14:textId="77777777" w:rsidR="001B0B30" w:rsidRDefault="001B0B30">
      <w:pPr>
        <w:spacing w:line="240" w:lineRule="auto"/>
      </w:pPr>
      <w:r>
        <w:separator/>
      </w:r>
    </w:p>
  </w:footnote>
  <w:footnote w:type="continuationSeparator" w:id="0">
    <w:p w14:paraId="4E77629E" w14:textId="77777777" w:rsidR="001B0B30" w:rsidRDefault="001B0B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7F23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1248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6F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60B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47D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2C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5693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70A7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1400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26BE9F2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DE0D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2A8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1E20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26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7A8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202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228F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1EA3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1D0A8AC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6172B9A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15EE94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F90412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78A50F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68C3CC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53C9E6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340C4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1BE948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3647D5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BCA93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7C8E8A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D4870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1B078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1B6352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85A52D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77436B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06CF94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9984E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9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ECD8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22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649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6A1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9CD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2D4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A4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749CF3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FA0A2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3ECE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ACE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16C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6464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B610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7E94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7007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689A4A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FF03E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39283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9C6937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12A07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4C4B2E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716FDA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DCA6FD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84A4B0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2E27D1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DD46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38B1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4CE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A53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BAE6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299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C25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9AE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C5DC2E6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07033D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798A19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22E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C3A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26B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468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78F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30D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1A0765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906C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F0F3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E2D5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440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A2A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D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7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9E96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4B847BB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20F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7A0F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EC9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54B6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7090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DCA6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ECA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4003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0A6E663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54806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A78B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D6A58E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FFAB80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AE0A2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93A0DE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7427D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8AA3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88EFF4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CCE0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EC2F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A18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2F4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FA63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F62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10CD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AC64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CCC3526"/>
    <w:multiLevelType w:val="multilevel"/>
    <w:tmpl w:val="3E68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0C3C1E"/>
    <w:multiLevelType w:val="hybridMultilevel"/>
    <w:tmpl w:val="BCC6941C"/>
    <w:lvl w:ilvl="0" w:tplc="C24EB91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1FB8160A" w:tentative="1">
      <w:start w:val="1"/>
      <w:numFmt w:val="lowerLetter"/>
      <w:lvlText w:val="%2."/>
      <w:lvlJc w:val="left"/>
      <w:pPr>
        <w:ind w:left="1440" w:hanging="360"/>
      </w:pPr>
    </w:lvl>
    <w:lvl w:ilvl="2" w:tplc="DF3A2F1A" w:tentative="1">
      <w:start w:val="1"/>
      <w:numFmt w:val="lowerRoman"/>
      <w:lvlText w:val="%3."/>
      <w:lvlJc w:val="right"/>
      <w:pPr>
        <w:ind w:left="2160" w:hanging="180"/>
      </w:pPr>
    </w:lvl>
    <w:lvl w:ilvl="3" w:tplc="4732AD70" w:tentative="1">
      <w:start w:val="1"/>
      <w:numFmt w:val="decimal"/>
      <w:lvlText w:val="%4."/>
      <w:lvlJc w:val="left"/>
      <w:pPr>
        <w:ind w:left="2880" w:hanging="360"/>
      </w:pPr>
    </w:lvl>
    <w:lvl w:ilvl="4" w:tplc="4F62B88C" w:tentative="1">
      <w:start w:val="1"/>
      <w:numFmt w:val="lowerLetter"/>
      <w:lvlText w:val="%5."/>
      <w:lvlJc w:val="left"/>
      <w:pPr>
        <w:ind w:left="3600" w:hanging="360"/>
      </w:pPr>
    </w:lvl>
    <w:lvl w:ilvl="5" w:tplc="847CE982" w:tentative="1">
      <w:start w:val="1"/>
      <w:numFmt w:val="lowerRoman"/>
      <w:lvlText w:val="%6."/>
      <w:lvlJc w:val="right"/>
      <w:pPr>
        <w:ind w:left="4320" w:hanging="180"/>
      </w:pPr>
    </w:lvl>
    <w:lvl w:ilvl="6" w:tplc="9F0C25C4" w:tentative="1">
      <w:start w:val="1"/>
      <w:numFmt w:val="decimal"/>
      <w:lvlText w:val="%7."/>
      <w:lvlJc w:val="left"/>
      <w:pPr>
        <w:ind w:left="5040" w:hanging="360"/>
      </w:pPr>
    </w:lvl>
    <w:lvl w:ilvl="7" w:tplc="36D02072" w:tentative="1">
      <w:start w:val="1"/>
      <w:numFmt w:val="lowerLetter"/>
      <w:lvlText w:val="%8."/>
      <w:lvlJc w:val="left"/>
      <w:pPr>
        <w:ind w:left="5760" w:hanging="360"/>
      </w:pPr>
    </w:lvl>
    <w:lvl w:ilvl="8" w:tplc="3BB860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309C51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FE04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46AB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34D8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366B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785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DA8A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342B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94D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B0A40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00A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90F7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8EE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A69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FC78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AEF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AD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32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0F0491D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5A2C8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6CA7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5A7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02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0D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8E7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D032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88A7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7590A614">
      <w:start w:val="1"/>
      <w:numFmt w:val="decimal"/>
      <w:lvlText w:val="%1."/>
      <w:lvlJc w:val="left"/>
      <w:pPr>
        <w:ind w:left="720" w:hanging="360"/>
      </w:pPr>
    </w:lvl>
    <w:lvl w:ilvl="1" w:tplc="ED30EE5E" w:tentative="1">
      <w:start w:val="1"/>
      <w:numFmt w:val="lowerLetter"/>
      <w:lvlText w:val="%2."/>
      <w:lvlJc w:val="left"/>
      <w:pPr>
        <w:ind w:left="1440" w:hanging="360"/>
      </w:pPr>
    </w:lvl>
    <w:lvl w:ilvl="2" w:tplc="11B25582" w:tentative="1">
      <w:start w:val="1"/>
      <w:numFmt w:val="lowerRoman"/>
      <w:lvlText w:val="%3."/>
      <w:lvlJc w:val="right"/>
      <w:pPr>
        <w:ind w:left="2160" w:hanging="180"/>
      </w:pPr>
    </w:lvl>
    <w:lvl w:ilvl="3" w:tplc="B0D8F50A" w:tentative="1">
      <w:start w:val="1"/>
      <w:numFmt w:val="decimal"/>
      <w:lvlText w:val="%4."/>
      <w:lvlJc w:val="left"/>
      <w:pPr>
        <w:ind w:left="2880" w:hanging="360"/>
      </w:pPr>
    </w:lvl>
    <w:lvl w:ilvl="4" w:tplc="2782212C" w:tentative="1">
      <w:start w:val="1"/>
      <w:numFmt w:val="lowerLetter"/>
      <w:lvlText w:val="%5."/>
      <w:lvlJc w:val="left"/>
      <w:pPr>
        <w:ind w:left="3600" w:hanging="360"/>
      </w:pPr>
    </w:lvl>
    <w:lvl w:ilvl="5" w:tplc="DA2C8A60" w:tentative="1">
      <w:start w:val="1"/>
      <w:numFmt w:val="lowerRoman"/>
      <w:lvlText w:val="%6."/>
      <w:lvlJc w:val="right"/>
      <w:pPr>
        <w:ind w:left="4320" w:hanging="180"/>
      </w:pPr>
    </w:lvl>
    <w:lvl w:ilvl="6" w:tplc="19564CD4" w:tentative="1">
      <w:start w:val="1"/>
      <w:numFmt w:val="decimal"/>
      <w:lvlText w:val="%7."/>
      <w:lvlJc w:val="left"/>
      <w:pPr>
        <w:ind w:left="5040" w:hanging="360"/>
      </w:pPr>
    </w:lvl>
    <w:lvl w:ilvl="7" w:tplc="C5922394" w:tentative="1">
      <w:start w:val="1"/>
      <w:numFmt w:val="lowerLetter"/>
      <w:lvlText w:val="%8."/>
      <w:lvlJc w:val="left"/>
      <w:pPr>
        <w:ind w:left="5760" w:hanging="360"/>
      </w:pPr>
    </w:lvl>
    <w:lvl w:ilvl="8" w:tplc="6CCAEA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9A148CD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A7015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AEE6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436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7683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EAE8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29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42D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D25F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8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6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9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7"/>
  </w:num>
  <w:num w:numId="40">
    <w:abstractNumId w:val="28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628C"/>
    <w:rsid w:val="00021B82"/>
    <w:rsid w:val="00024777"/>
    <w:rsid w:val="00024E21"/>
    <w:rsid w:val="00027100"/>
    <w:rsid w:val="000307F8"/>
    <w:rsid w:val="00030AD8"/>
    <w:rsid w:val="00030EE9"/>
    <w:rsid w:val="000349AA"/>
    <w:rsid w:val="00036C50"/>
    <w:rsid w:val="00052D2B"/>
    <w:rsid w:val="00054F55"/>
    <w:rsid w:val="00056EE7"/>
    <w:rsid w:val="00062945"/>
    <w:rsid w:val="00063946"/>
    <w:rsid w:val="00064A8C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1471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4657"/>
    <w:rsid w:val="001078D1"/>
    <w:rsid w:val="00111185"/>
    <w:rsid w:val="00115782"/>
    <w:rsid w:val="00115BD5"/>
    <w:rsid w:val="00116067"/>
    <w:rsid w:val="001214EE"/>
    <w:rsid w:val="00123C1C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27BE"/>
    <w:rsid w:val="00164543"/>
    <w:rsid w:val="00164C48"/>
    <w:rsid w:val="00165F25"/>
    <w:rsid w:val="001674D3"/>
    <w:rsid w:val="00172D79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0B30"/>
    <w:rsid w:val="001B1C77"/>
    <w:rsid w:val="001B26EB"/>
    <w:rsid w:val="001B6F4A"/>
    <w:rsid w:val="001B7B38"/>
    <w:rsid w:val="001C5288"/>
    <w:rsid w:val="001C5B03"/>
    <w:rsid w:val="001D3119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0C52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86D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C66C7"/>
    <w:rsid w:val="002D300D"/>
    <w:rsid w:val="002E0CD4"/>
    <w:rsid w:val="002E3A90"/>
    <w:rsid w:val="002E46CC"/>
    <w:rsid w:val="002E4F48"/>
    <w:rsid w:val="002E62CB"/>
    <w:rsid w:val="002E6DF1"/>
    <w:rsid w:val="002E6ED9"/>
    <w:rsid w:val="002F06FB"/>
    <w:rsid w:val="002F0957"/>
    <w:rsid w:val="002F20E8"/>
    <w:rsid w:val="002F3A7F"/>
    <w:rsid w:val="002F41AD"/>
    <w:rsid w:val="002F43F6"/>
    <w:rsid w:val="002F64C6"/>
    <w:rsid w:val="002F6DAA"/>
    <w:rsid w:val="002F6EE3"/>
    <w:rsid w:val="002F71D5"/>
    <w:rsid w:val="0030009D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17FA8"/>
    <w:rsid w:val="0032453E"/>
    <w:rsid w:val="003247F4"/>
    <w:rsid w:val="00325053"/>
    <w:rsid w:val="003256AC"/>
    <w:rsid w:val="00330CC1"/>
    <w:rsid w:val="0033129D"/>
    <w:rsid w:val="003320ED"/>
    <w:rsid w:val="0033245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C0A"/>
    <w:rsid w:val="00367F82"/>
    <w:rsid w:val="0037032C"/>
    <w:rsid w:val="003737C8"/>
    <w:rsid w:val="0037589D"/>
    <w:rsid w:val="00375FBE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A7CB8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4EC3"/>
    <w:rsid w:val="0043586F"/>
    <w:rsid w:val="004371A3"/>
    <w:rsid w:val="004419ED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4F750C"/>
    <w:rsid w:val="005004EC"/>
    <w:rsid w:val="00506AAE"/>
    <w:rsid w:val="00510564"/>
    <w:rsid w:val="00517756"/>
    <w:rsid w:val="005202C6"/>
    <w:rsid w:val="00523C53"/>
    <w:rsid w:val="005272F4"/>
    <w:rsid w:val="005274BC"/>
    <w:rsid w:val="00527B8F"/>
    <w:rsid w:val="00534503"/>
    <w:rsid w:val="00536031"/>
    <w:rsid w:val="005373B8"/>
    <w:rsid w:val="005401D7"/>
    <w:rsid w:val="0054134B"/>
    <w:rsid w:val="00542012"/>
    <w:rsid w:val="00543DF5"/>
    <w:rsid w:val="00545A61"/>
    <w:rsid w:val="00550E1E"/>
    <w:rsid w:val="0055260D"/>
    <w:rsid w:val="00554C27"/>
    <w:rsid w:val="00555422"/>
    <w:rsid w:val="00555810"/>
    <w:rsid w:val="00560F84"/>
    <w:rsid w:val="00562715"/>
    <w:rsid w:val="00562DCA"/>
    <w:rsid w:val="0056568F"/>
    <w:rsid w:val="00567FD9"/>
    <w:rsid w:val="0057436C"/>
    <w:rsid w:val="00575DE3"/>
    <w:rsid w:val="00580B08"/>
    <w:rsid w:val="00582578"/>
    <w:rsid w:val="0058621D"/>
    <w:rsid w:val="00586904"/>
    <w:rsid w:val="0059792B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0EAB"/>
    <w:rsid w:val="00691B42"/>
    <w:rsid w:val="00693DE5"/>
    <w:rsid w:val="006A0D03"/>
    <w:rsid w:val="006A41E9"/>
    <w:rsid w:val="006B12CB"/>
    <w:rsid w:val="006B2030"/>
    <w:rsid w:val="006B43AE"/>
    <w:rsid w:val="006B5916"/>
    <w:rsid w:val="006B7D97"/>
    <w:rsid w:val="006C2B4F"/>
    <w:rsid w:val="006C3B7E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0C93"/>
    <w:rsid w:val="00705E17"/>
    <w:rsid w:val="00705EAF"/>
    <w:rsid w:val="0070773E"/>
    <w:rsid w:val="007101CC"/>
    <w:rsid w:val="00715C55"/>
    <w:rsid w:val="00724E3B"/>
    <w:rsid w:val="00725EEA"/>
    <w:rsid w:val="007276B6"/>
    <w:rsid w:val="00727D15"/>
    <w:rsid w:val="00730908"/>
    <w:rsid w:val="00730CE9"/>
    <w:rsid w:val="0073373D"/>
    <w:rsid w:val="0073567B"/>
    <w:rsid w:val="00736B1E"/>
    <w:rsid w:val="007417B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2F68"/>
    <w:rsid w:val="00794FC8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E5BA5"/>
    <w:rsid w:val="007F1433"/>
    <w:rsid w:val="007F1491"/>
    <w:rsid w:val="007F16DD"/>
    <w:rsid w:val="007F2F03"/>
    <w:rsid w:val="007F42CE"/>
    <w:rsid w:val="00800FE0"/>
    <w:rsid w:val="008018FD"/>
    <w:rsid w:val="0080514E"/>
    <w:rsid w:val="008066AD"/>
    <w:rsid w:val="00807A50"/>
    <w:rsid w:val="0081238C"/>
    <w:rsid w:val="00812CD8"/>
    <w:rsid w:val="008145D9"/>
    <w:rsid w:val="00814AF1"/>
    <w:rsid w:val="0081517F"/>
    <w:rsid w:val="00815370"/>
    <w:rsid w:val="00815F6D"/>
    <w:rsid w:val="0082153D"/>
    <w:rsid w:val="008255AA"/>
    <w:rsid w:val="00830FF3"/>
    <w:rsid w:val="008334BF"/>
    <w:rsid w:val="00833935"/>
    <w:rsid w:val="00836B8C"/>
    <w:rsid w:val="00840062"/>
    <w:rsid w:val="008410C5"/>
    <w:rsid w:val="00841413"/>
    <w:rsid w:val="00846C08"/>
    <w:rsid w:val="00850794"/>
    <w:rsid w:val="00852FF2"/>
    <w:rsid w:val="008530E7"/>
    <w:rsid w:val="00856BDB"/>
    <w:rsid w:val="00857675"/>
    <w:rsid w:val="008576E4"/>
    <w:rsid w:val="0086185D"/>
    <w:rsid w:val="00861F86"/>
    <w:rsid w:val="00863A6D"/>
    <w:rsid w:val="00867C0D"/>
    <w:rsid w:val="0087125C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8775F"/>
    <w:rsid w:val="00890052"/>
    <w:rsid w:val="008947AE"/>
    <w:rsid w:val="00894E3A"/>
    <w:rsid w:val="00895A2F"/>
    <w:rsid w:val="00896EBD"/>
    <w:rsid w:val="008A026F"/>
    <w:rsid w:val="008A2685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0925"/>
    <w:rsid w:val="008F0B47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09A8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56485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04E8"/>
    <w:rsid w:val="009C108A"/>
    <w:rsid w:val="009C2E47"/>
    <w:rsid w:val="009C5BCB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02A5"/>
    <w:rsid w:val="009F1AD2"/>
    <w:rsid w:val="009F568A"/>
    <w:rsid w:val="00A00C78"/>
    <w:rsid w:val="00A0479E"/>
    <w:rsid w:val="00A07979"/>
    <w:rsid w:val="00A11755"/>
    <w:rsid w:val="00A13A7D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53D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3C6D"/>
    <w:rsid w:val="00A9575C"/>
    <w:rsid w:val="00A95B56"/>
    <w:rsid w:val="00A95E81"/>
    <w:rsid w:val="00A969AF"/>
    <w:rsid w:val="00AA308A"/>
    <w:rsid w:val="00AB1A2E"/>
    <w:rsid w:val="00AB1DB1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61EF"/>
    <w:rsid w:val="00B075D6"/>
    <w:rsid w:val="00B10790"/>
    <w:rsid w:val="00B113B9"/>
    <w:rsid w:val="00B119A2"/>
    <w:rsid w:val="00B13B6D"/>
    <w:rsid w:val="00B1730C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228B"/>
    <w:rsid w:val="00B44468"/>
    <w:rsid w:val="00B60AC9"/>
    <w:rsid w:val="00B620F7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6C60"/>
    <w:rsid w:val="00B87253"/>
    <w:rsid w:val="00B875A6"/>
    <w:rsid w:val="00B93E4C"/>
    <w:rsid w:val="00B94A1B"/>
    <w:rsid w:val="00B9784D"/>
    <w:rsid w:val="00BA28BE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298"/>
    <w:rsid w:val="00C01F77"/>
    <w:rsid w:val="00C01FFC"/>
    <w:rsid w:val="00C05321"/>
    <w:rsid w:val="00C06AE4"/>
    <w:rsid w:val="00C114FF"/>
    <w:rsid w:val="00C11D49"/>
    <w:rsid w:val="00C12E85"/>
    <w:rsid w:val="00C12F42"/>
    <w:rsid w:val="00C134A3"/>
    <w:rsid w:val="00C171A1"/>
    <w:rsid w:val="00C171A4"/>
    <w:rsid w:val="00C17967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37421"/>
    <w:rsid w:val="00C40928"/>
    <w:rsid w:val="00C40CFF"/>
    <w:rsid w:val="00C42697"/>
    <w:rsid w:val="00C43F01"/>
    <w:rsid w:val="00C4587E"/>
    <w:rsid w:val="00C47552"/>
    <w:rsid w:val="00C4762C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747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E376C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3247"/>
    <w:rsid w:val="00D26B62"/>
    <w:rsid w:val="00D32624"/>
    <w:rsid w:val="00D3691A"/>
    <w:rsid w:val="00D377E2"/>
    <w:rsid w:val="00D403E9"/>
    <w:rsid w:val="00D4114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4A55"/>
    <w:rsid w:val="00DC2946"/>
    <w:rsid w:val="00DC4340"/>
    <w:rsid w:val="00DC550F"/>
    <w:rsid w:val="00DC64FD"/>
    <w:rsid w:val="00DD53C3"/>
    <w:rsid w:val="00DD669D"/>
    <w:rsid w:val="00DE127F"/>
    <w:rsid w:val="00DE36C7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5ADB"/>
    <w:rsid w:val="00E060F7"/>
    <w:rsid w:val="00E117F9"/>
    <w:rsid w:val="00E124D3"/>
    <w:rsid w:val="00E1267F"/>
    <w:rsid w:val="00E12AA5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590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E7CF4"/>
    <w:rsid w:val="00EF2247"/>
    <w:rsid w:val="00EF3A8A"/>
    <w:rsid w:val="00F0054D"/>
    <w:rsid w:val="00F02467"/>
    <w:rsid w:val="00F04D0E"/>
    <w:rsid w:val="00F11787"/>
    <w:rsid w:val="00F12214"/>
    <w:rsid w:val="00F12565"/>
    <w:rsid w:val="00F129C7"/>
    <w:rsid w:val="00F144BE"/>
    <w:rsid w:val="00F14ACA"/>
    <w:rsid w:val="00F170D9"/>
    <w:rsid w:val="00F17A0C"/>
    <w:rsid w:val="00F22E7E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73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08E"/>
    <w:rsid w:val="00F84672"/>
    <w:rsid w:val="00F84802"/>
    <w:rsid w:val="00F84AED"/>
    <w:rsid w:val="00F94330"/>
    <w:rsid w:val="00F95A8C"/>
    <w:rsid w:val="00F9649E"/>
    <w:rsid w:val="00FA06FD"/>
    <w:rsid w:val="00FA1B36"/>
    <w:rsid w:val="00FA515B"/>
    <w:rsid w:val="00FA6B90"/>
    <w:rsid w:val="00FA70F9"/>
    <w:rsid w:val="00FA74CB"/>
    <w:rsid w:val="00FB207A"/>
    <w:rsid w:val="00FB2432"/>
    <w:rsid w:val="00FB2886"/>
    <w:rsid w:val="00FB466E"/>
    <w:rsid w:val="00FB6F2F"/>
    <w:rsid w:val="00FC02F3"/>
    <w:rsid w:val="00FC752C"/>
    <w:rsid w:val="00FD0492"/>
    <w:rsid w:val="00FD13EC"/>
    <w:rsid w:val="00FD1E45"/>
    <w:rsid w:val="00FD4D3E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30CD7BE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Normlnweb">
    <w:name w:val="Normal (Web)"/>
    <w:basedOn w:val="Normln"/>
    <w:uiPriority w:val="99"/>
    <w:semiHidden/>
    <w:unhideWhenUsed/>
    <w:rsid w:val="00E12AA5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it-IT" w:eastAsia="it-IT"/>
    </w:rPr>
  </w:style>
  <w:style w:type="character" w:styleId="Nevyeenzmnka">
    <w:name w:val="Unresolved Mention"/>
    <w:basedOn w:val="Standardnpsmoodstavce"/>
    <w:rsid w:val="00E12AA5"/>
    <w:rPr>
      <w:color w:val="605E5C"/>
      <w:shd w:val="clear" w:color="auto" w:fill="E1DFDD"/>
    </w:rPr>
  </w:style>
  <w:style w:type="character" w:customStyle="1" w:styleId="markedcontent">
    <w:name w:val="markedcontent"/>
    <w:basedOn w:val="Standardnpsmoodstavce"/>
    <w:rsid w:val="00741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mifarma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/cs/registrace-a-schvalovani/registrace-vlp/seznam-vlp/aktualne-registrovane-vl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EF324-C6CD-40A1-B2C5-E8B2D7035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6</Pages>
  <Words>1595</Words>
  <Characters>9412</Characters>
  <Application>Microsoft Office Word</Application>
  <DocSecurity>0</DocSecurity>
  <Lines>78</Lines>
  <Paragraphs>21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Dana Studená</cp:lastModifiedBy>
  <cp:revision>48</cp:revision>
  <cp:lastPrinted>2022-10-26T09:04:00Z</cp:lastPrinted>
  <dcterms:created xsi:type="dcterms:W3CDTF">2024-12-17T12:35:00Z</dcterms:created>
  <dcterms:modified xsi:type="dcterms:W3CDTF">2026-09-02T10:29:00Z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