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C7D29" w14:textId="77777777" w:rsidR="0076165E" w:rsidRPr="006230BC" w:rsidRDefault="0076165E" w:rsidP="0076165E">
      <w:pPr>
        <w:jc w:val="center"/>
        <w:rPr>
          <w:b/>
          <w:lang w:val="nl-BE"/>
        </w:rPr>
      </w:pPr>
    </w:p>
    <w:p w14:paraId="4E0A49FD" w14:textId="77777777" w:rsidR="0076165E" w:rsidRDefault="0076165E" w:rsidP="0076165E">
      <w:pPr>
        <w:jc w:val="center"/>
        <w:rPr>
          <w:b/>
        </w:rPr>
      </w:pPr>
    </w:p>
    <w:p w14:paraId="7BC53C4F" w14:textId="77777777" w:rsidR="0076165E" w:rsidRDefault="0076165E" w:rsidP="0076165E">
      <w:pPr>
        <w:jc w:val="center"/>
        <w:rPr>
          <w:b/>
        </w:rPr>
      </w:pPr>
    </w:p>
    <w:p w14:paraId="58A794E4" w14:textId="77777777" w:rsidR="0076165E" w:rsidRDefault="0076165E" w:rsidP="0076165E">
      <w:pPr>
        <w:jc w:val="center"/>
        <w:rPr>
          <w:b/>
        </w:rPr>
      </w:pPr>
    </w:p>
    <w:p w14:paraId="3007C1C6" w14:textId="77777777" w:rsidR="0076165E" w:rsidRDefault="0076165E" w:rsidP="0076165E">
      <w:pPr>
        <w:jc w:val="center"/>
        <w:rPr>
          <w:b/>
        </w:rPr>
      </w:pPr>
    </w:p>
    <w:p w14:paraId="34A1A5B1" w14:textId="77777777" w:rsidR="0076165E" w:rsidRDefault="0076165E" w:rsidP="0076165E">
      <w:pPr>
        <w:jc w:val="center"/>
        <w:rPr>
          <w:b/>
        </w:rPr>
      </w:pPr>
    </w:p>
    <w:p w14:paraId="385E4C32" w14:textId="77777777" w:rsidR="0076165E" w:rsidRDefault="0076165E" w:rsidP="0076165E">
      <w:pPr>
        <w:jc w:val="center"/>
        <w:rPr>
          <w:b/>
        </w:rPr>
      </w:pPr>
    </w:p>
    <w:p w14:paraId="149DEC4A" w14:textId="77777777" w:rsidR="0076165E" w:rsidRDefault="0076165E" w:rsidP="0076165E">
      <w:pPr>
        <w:jc w:val="center"/>
        <w:rPr>
          <w:b/>
        </w:rPr>
      </w:pPr>
    </w:p>
    <w:p w14:paraId="097E895C" w14:textId="77777777" w:rsidR="0076165E" w:rsidRDefault="0076165E" w:rsidP="0076165E">
      <w:pPr>
        <w:jc w:val="center"/>
        <w:rPr>
          <w:b/>
        </w:rPr>
      </w:pPr>
    </w:p>
    <w:p w14:paraId="566843EB" w14:textId="77777777" w:rsidR="0076165E" w:rsidRDefault="0076165E" w:rsidP="0076165E">
      <w:pPr>
        <w:jc w:val="center"/>
        <w:rPr>
          <w:b/>
        </w:rPr>
      </w:pPr>
    </w:p>
    <w:p w14:paraId="790282BB" w14:textId="77777777" w:rsidR="0076165E" w:rsidRDefault="0076165E" w:rsidP="0076165E">
      <w:pPr>
        <w:jc w:val="center"/>
        <w:rPr>
          <w:b/>
        </w:rPr>
      </w:pPr>
    </w:p>
    <w:p w14:paraId="705E4381" w14:textId="77777777" w:rsidR="0076165E" w:rsidRDefault="0076165E" w:rsidP="0076165E">
      <w:pPr>
        <w:jc w:val="center"/>
        <w:rPr>
          <w:b/>
        </w:rPr>
      </w:pPr>
    </w:p>
    <w:p w14:paraId="6B50AA91" w14:textId="77777777" w:rsidR="0076165E" w:rsidRDefault="0076165E" w:rsidP="0076165E">
      <w:pPr>
        <w:jc w:val="center"/>
        <w:rPr>
          <w:b/>
        </w:rPr>
      </w:pPr>
    </w:p>
    <w:p w14:paraId="10AC5C83" w14:textId="77777777" w:rsidR="0076165E" w:rsidRDefault="0076165E" w:rsidP="0076165E">
      <w:pPr>
        <w:jc w:val="center"/>
        <w:rPr>
          <w:b/>
        </w:rPr>
      </w:pPr>
    </w:p>
    <w:p w14:paraId="3F65CD5B" w14:textId="77777777" w:rsidR="0076165E" w:rsidRDefault="0076165E" w:rsidP="0076165E">
      <w:pPr>
        <w:jc w:val="center"/>
        <w:rPr>
          <w:b/>
        </w:rPr>
      </w:pPr>
    </w:p>
    <w:p w14:paraId="3F83E5A3" w14:textId="77777777" w:rsidR="0076165E" w:rsidRDefault="0076165E" w:rsidP="0076165E">
      <w:pPr>
        <w:jc w:val="center"/>
        <w:rPr>
          <w:b/>
        </w:rPr>
      </w:pPr>
    </w:p>
    <w:p w14:paraId="420D864A" w14:textId="77777777" w:rsidR="0076165E" w:rsidRDefault="0076165E" w:rsidP="0076165E">
      <w:pPr>
        <w:jc w:val="center"/>
        <w:rPr>
          <w:b/>
        </w:rPr>
      </w:pPr>
    </w:p>
    <w:p w14:paraId="1BE5AA30" w14:textId="77777777" w:rsidR="0076165E" w:rsidRDefault="0076165E" w:rsidP="0076165E">
      <w:pPr>
        <w:jc w:val="center"/>
        <w:rPr>
          <w:b/>
        </w:rPr>
      </w:pPr>
    </w:p>
    <w:p w14:paraId="54BEBD17" w14:textId="77777777" w:rsidR="0076165E" w:rsidRDefault="0076165E" w:rsidP="0076165E">
      <w:pPr>
        <w:jc w:val="center"/>
        <w:rPr>
          <w:b/>
        </w:rPr>
      </w:pPr>
    </w:p>
    <w:p w14:paraId="34690A66" w14:textId="77777777" w:rsidR="0076165E" w:rsidRPr="00F75554" w:rsidRDefault="0076165E" w:rsidP="0076165E">
      <w:pPr>
        <w:jc w:val="center"/>
        <w:rPr>
          <w:b/>
        </w:rPr>
      </w:pPr>
      <w:r w:rsidRPr="00F75554">
        <w:rPr>
          <w:b/>
        </w:rPr>
        <w:t>PŘÍLOHA I</w:t>
      </w:r>
    </w:p>
    <w:p w14:paraId="3CC0CC3D" w14:textId="77777777" w:rsidR="0076165E" w:rsidRDefault="0076165E" w:rsidP="0076165E">
      <w:pPr>
        <w:autoSpaceDE w:val="0"/>
        <w:autoSpaceDN w:val="0"/>
        <w:adjustRightInd w:val="0"/>
        <w:jc w:val="center"/>
        <w:rPr>
          <w:b/>
          <w:szCs w:val="22"/>
        </w:rPr>
      </w:pPr>
    </w:p>
    <w:p w14:paraId="4B680A30" w14:textId="77777777" w:rsidR="0076165E" w:rsidRPr="000B0F7D" w:rsidRDefault="0076165E" w:rsidP="0076165E">
      <w:pPr>
        <w:autoSpaceDE w:val="0"/>
        <w:autoSpaceDN w:val="0"/>
        <w:adjustRightInd w:val="0"/>
        <w:jc w:val="center"/>
        <w:rPr>
          <w:b/>
          <w:szCs w:val="22"/>
        </w:rPr>
      </w:pPr>
      <w:r w:rsidRPr="000B0F7D">
        <w:rPr>
          <w:b/>
          <w:szCs w:val="22"/>
        </w:rPr>
        <w:t>SOUHRN ÚDAJŮ O PŘÍPRAVKU</w:t>
      </w:r>
    </w:p>
    <w:p w14:paraId="715BBEF5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b/>
          <w:szCs w:val="22"/>
        </w:rPr>
      </w:pPr>
    </w:p>
    <w:p w14:paraId="67B9AFF1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b/>
          <w:szCs w:val="22"/>
        </w:rPr>
      </w:pPr>
      <w:r>
        <w:rPr>
          <w:b/>
          <w:szCs w:val="22"/>
        </w:rPr>
        <w:br w:type="page"/>
      </w:r>
      <w:r w:rsidRPr="000B0F7D">
        <w:rPr>
          <w:b/>
          <w:szCs w:val="22"/>
        </w:rPr>
        <w:lastRenderedPageBreak/>
        <w:t>1. NÁZEV VETERINÁRNÍHO LÉČIVÉHO PŘÍPRAVKU</w:t>
      </w:r>
    </w:p>
    <w:p w14:paraId="599FA2F7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</w:p>
    <w:p w14:paraId="5C3BC594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  <w:r w:rsidRPr="000B0F7D">
        <w:rPr>
          <w:szCs w:val="22"/>
        </w:rPr>
        <w:t xml:space="preserve">FLORFENIKEL 300 mg/ml injekční roztok pro skot a prasata </w:t>
      </w:r>
    </w:p>
    <w:p w14:paraId="7C17B586" w14:textId="17098688" w:rsidR="0076165E" w:rsidRDefault="0076165E" w:rsidP="0076165E">
      <w:pPr>
        <w:autoSpaceDE w:val="0"/>
        <w:autoSpaceDN w:val="0"/>
        <w:adjustRightInd w:val="0"/>
        <w:jc w:val="both"/>
        <w:rPr>
          <w:b/>
          <w:szCs w:val="22"/>
        </w:rPr>
      </w:pPr>
    </w:p>
    <w:p w14:paraId="637AC85A" w14:textId="77777777" w:rsidR="003360AB" w:rsidRPr="000B0F7D" w:rsidRDefault="003360AB" w:rsidP="0076165E">
      <w:pPr>
        <w:autoSpaceDE w:val="0"/>
        <w:autoSpaceDN w:val="0"/>
        <w:adjustRightInd w:val="0"/>
        <w:jc w:val="both"/>
        <w:rPr>
          <w:b/>
          <w:szCs w:val="22"/>
        </w:rPr>
      </w:pPr>
    </w:p>
    <w:p w14:paraId="349BD210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b/>
          <w:szCs w:val="22"/>
        </w:rPr>
      </w:pPr>
      <w:r w:rsidRPr="000B0F7D">
        <w:rPr>
          <w:b/>
          <w:szCs w:val="22"/>
        </w:rPr>
        <w:t>2. KVALITATIVNÍ A KVANTITATIVNÍ SLOŽENÍ</w:t>
      </w:r>
    </w:p>
    <w:p w14:paraId="58D6775E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b/>
          <w:szCs w:val="22"/>
        </w:rPr>
      </w:pPr>
    </w:p>
    <w:p w14:paraId="36AE3CE5" w14:textId="278A1BBD" w:rsidR="0076165E" w:rsidRDefault="00616AEF" w:rsidP="0076165E">
      <w:pPr>
        <w:autoSpaceDE w:val="0"/>
        <w:autoSpaceDN w:val="0"/>
        <w:adjustRightInd w:val="0"/>
        <w:jc w:val="both"/>
        <w:rPr>
          <w:szCs w:val="22"/>
        </w:rPr>
      </w:pPr>
      <w:r w:rsidRPr="00616AEF">
        <w:rPr>
          <w:szCs w:val="22"/>
        </w:rPr>
        <w:t xml:space="preserve">Každý </w:t>
      </w:r>
      <w:r w:rsidR="0076165E">
        <w:rPr>
          <w:szCs w:val="22"/>
        </w:rPr>
        <w:t>ml</w:t>
      </w:r>
      <w:r w:rsidR="0076165E" w:rsidRPr="000B0F7D">
        <w:rPr>
          <w:szCs w:val="22"/>
        </w:rPr>
        <w:t xml:space="preserve"> obsahuje</w:t>
      </w:r>
      <w:r w:rsidR="0076165E">
        <w:rPr>
          <w:szCs w:val="22"/>
        </w:rPr>
        <w:t>:</w:t>
      </w:r>
    </w:p>
    <w:p w14:paraId="5562FEAC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</w:p>
    <w:p w14:paraId="51D0F263" w14:textId="7580805F" w:rsidR="0076165E" w:rsidRPr="000B0F7D" w:rsidRDefault="00616AEF" w:rsidP="0076165E">
      <w:pPr>
        <w:autoSpaceDE w:val="0"/>
        <w:autoSpaceDN w:val="0"/>
        <w:adjustRightInd w:val="0"/>
        <w:jc w:val="both"/>
        <w:rPr>
          <w:b/>
          <w:szCs w:val="22"/>
        </w:rPr>
      </w:pPr>
      <w:r w:rsidRPr="00616AEF">
        <w:rPr>
          <w:b/>
          <w:szCs w:val="22"/>
        </w:rPr>
        <w:t xml:space="preserve">Léčivé </w:t>
      </w:r>
      <w:proofErr w:type="spellStart"/>
      <w:r w:rsidRPr="00616AEF">
        <w:rPr>
          <w:b/>
          <w:szCs w:val="22"/>
        </w:rPr>
        <w:t>látky:</w:t>
      </w:r>
      <w:r w:rsidR="0076165E" w:rsidRPr="000B0F7D">
        <w:rPr>
          <w:b/>
          <w:szCs w:val="22"/>
        </w:rPr>
        <w:t>látka</w:t>
      </w:r>
      <w:proofErr w:type="spellEnd"/>
      <w:r w:rsidR="0076165E" w:rsidRPr="000B0F7D">
        <w:rPr>
          <w:b/>
          <w:szCs w:val="22"/>
        </w:rPr>
        <w:t>:</w:t>
      </w:r>
    </w:p>
    <w:p w14:paraId="57EF9B00" w14:textId="7856DDAD" w:rsidR="0076165E" w:rsidRDefault="0076165E" w:rsidP="0076165E">
      <w:pPr>
        <w:tabs>
          <w:tab w:val="left" w:pos="3780"/>
        </w:tabs>
        <w:autoSpaceDE w:val="0"/>
        <w:autoSpaceDN w:val="0"/>
        <w:adjustRightInd w:val="0"/>
        <w:jc w:val="both"/>
        <w:rPr>
          <w:szCs w:val="22"/>
        </w:rPr>
      </w:pPr>
      <w:proofErr w:type="spellStart"/>
      <w:r w:rsidRPr="000B0F7D">
        <w:rPr>
          <w:szCs w:val="22"/>
        </w:rPr>
        <w:t>Florfenicol</w:t>
      </w:r>
      <w:proofErr w:type="spellEnd"/>
      <w:r w:rsidRPr="000B0F7D">
        <w:rPr>
          <w:szCs w:val="22"/>
        </w:rPr>
        <w:t xml:space="preserve"> 300 mg</w:t>
      </w:r>
    </w:p>
    <w:p w14:paraId="1E1A4371" w14:textId="77777777" w:rsidR="00675208" w:rsidRDefault="00675208" w:rsidP="0076165E">
      <w:pPr>
        <w:tabs>
          <w:tab w:val="left" w:pos="3780"/>
        </w:tabs>
        <w:autoSpaceDE w:val="0"/>
        <w:autoSpaceDN w:val="0"/>
        <w:adjustRightInd w:val="0"/>
        <w:jc w:val="both"/>
        <w:rPr>
          <w:szCs w:val="22"/>
        </w:rPr>
      </w:pPr>
    </w:p>
    <w:p w14:paraId="709A03DD" w14:textId="74E21E8A" w:rsidR="00675208" w:rsidRDefault="00675208" w:rsidP="00675208">
      <w:pPr>
        <w:tabs>
          <w:tab w:val="left" w:pos="3780"/>
        </w:tabs>
        <w:autoSpaceDE w:val="0"/>
        <w:autoSpaceDN w:val="0"/>
        <w:adjustRightInd w:val="0"/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Pomocná </w:t>
      </w:r>
      <w:r w:rsidR="00616AEF" w:rsidRPr="00B41D57">
        <w:rPr>
          <w:b/>
          <w:szCs w:val="22"/>
        </w:rPr>
        <w:t>látky</w:t>
      </w:r>
      <w:r>
        <w:rPr>
          <w:b/>
          <w:bCs/>
          <w:szCs w:val="2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616AEF" w14:paraId="1988CF39" w14:textId="77777777" w:rsidTr="007D30AE">
        <w:tc>
          <w:tcPr>
            <w:tcW w:w="4643" w:type="dxa"/>
            <w:shd w:val="clear" w:color="auto" w:fill="auto"/>
            <w:vAlign w:val="center"/>
          </w:tcPr>
          <w:p w14:paraId="5F932FDE" w14:textId="77777777" w:rsidR="00616AEF" w:rsidRPr="00B41D57" w:rsidRDefault="00616AEF" w:rsidP="007D30AE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A037C8" w14:textId="77777777" w:rsidR="00616AEF" w:rsidRPr="00B41D57" w:rsidRDefault="00616AEF" w:rsidP="007D30AE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616AEF" w14:paraId="55ECABBE" w14:textId="77777777" w:rsidTr="007D30AE">
        <w:tc>
          <w:tcPr>
            <w:tcW w:w="4643" w:type="dxa"/>
            <w:shd w:val="clear" w:color="auto" w:fill="auto"/>
            <w:vAlign w:val="center"/>
          </w:tcPr>
          <w:p w14:paraId="30826FD6" w14:textId="77777777" w:rsidR="00616AEF" w:rsidRPr="00B41D57" w:rsidRDefault="00616AEF" w:rsidP="007D30AE">
            <w:pPr>
              <w:spacing w:before="60" w:after="60"/>
              <w:rPr>
                <w:iCs/>
                <w:szCs w:val="22"/>
              </w:rPr>
            </w:pPr>
            <w:r w:rsidRPr="00616AEF">
              <w:rPr>
                <w:iCs/>
                <w:szCs w:val="22"/>
              </w:rPr>
              <w:t>N-methylpyrrolidon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7092C14" w14:textId="77777777" w:rsidR="00616AEF" w:rsidRPr="00B41D57" w:rsidRDefault="00616AEF" w:rsidP="007D30AE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200mg</w:t>
            </w:r>
          </w:p>
        </w:tc>
      </w:tr>
      <w:tr w:rsidR="00616AEF" w14:paraId="56FE8D46" w14:textId="77777777" w:rsidTr="007D30AE">
        <w:tc>
          <w:tcPr>
            <w:tcW w:w="4643" w:type="dxa"/>
            <w:shd w:val="clear" w:color="auto" w:fill="auto"/>
            <w:vAlign w:val="center"/>
          </w:tcPr>
          <w:p w14:paraId="738585DE" w14:textId="21BA9AC8" w:rsidR="00616AEF" w:rsidRPr="00B41D57" w:rsidRDefault="00616AEF" w:rsidP="007D30AE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16AEF">
              <w:rPr>
                <w:iCs/>
                <w:szCs w:val="22"/>
              </w:rPr>
              <w:t>Glycero</w:t>
            </w:r>
            <w:r w:rsidR="00067A9A">
              <w:rPr>
                <w:iCs/>
                <w:szCs w:val="22"/>
              </w:rPr>
              <w:t>lformal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646D7A6D" w14:textId="77777777" w:rsidR="00616AEF" w:rsidRPr="00B41D57" w:rsidRDefault="00616AEF" w:rsidP="007D30AE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56AEC2E6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</w:p>
    <w:p w14:paraId="558BBECD" w14:textId="77777777" w:rsidR="0076165E" w:rsidRPr="0039313C" w:rsidRDefault="00616AEF" w:rsidP="0076165E">
      <w:pPr>
        <w:autoSpaceDE w:val="0"/>
        <w:autoSpaceDN w:val="0"/>
        <w:adjustRightInd w:val="0"/>
        <w:jc w:val="both"/>
        <w:rPr>
          <w:bCs/>
          <w:szCs w:val="22"/>
        </w:rPr>
      </w:pPr>
      <w:r w:rsidRPr="0039313C">
        <w:rPr>
          <w:bCs/>
          <w:szCs w:val="22"/>
        </w:rPr>
        <w:t>Čirý, světle žlutý až žlutý roztok.</w:t>
      </w:r>
    </w:p>
    <w:p w14:paraId="6D2394CA" w14:textId="78650054" w:rsidR="00616AEF" w:rsidRDefault="00616AEF" w:rsidP="0076165E">
      <w:pPr>
        <w:autoSpaceDE w:val="0"/>
        <w:autoSpaceDN w:val="0"/>
        <w:adjustRightInd w:val="0"/>
        <w:jc w:val="both"/>
        <w:rPr>
          <w:b/>
          <w:szCs w:val="22"/>
        </w:rPr>
      </w:pPr>
    </w:p>
    <w:p w14:paraId="55CA9C56" w14:textId="77777777" w:rsidR="003360AB" w:rsidRPr="000B0F7D" w:rsidRDefault="003360AB" w:rsidP="0076165E">
      <w:pPr>
        <w:autoSpaceDE w:val="0"/>
        <w:autoSpaceDN w:val="0"/>
        <w:adjustRightInd w:val="0"/>
        <w:jc w:val="both"/>
        <w:rPr>
          <w:b/>
          <w:szCs w:val="22"/>
        </w:rPr>
      </w:pPr>
    </w:p>
    <w:p w14:paraId="090FECD1" w14:textId="77777777" w:rsidR="006230BC" w:rsidRPr="00B41D57" w:rsidRDefault="006230BC" w:rsidP="006230BC">
      <w:pPr>
        <w:pStyle w:val="Style1"/>
      </w:pPr>
      <w:r w:rsidRPr="00B41D57">
        <w:t>3.</w:t>
      </w:r>
      <w:r w:rsidRPr="00B41D57">
        <w:tab/>
        <w:t>KLINICKÉ INFORMACE</w:t>
      </w:r>
    </w:p>
    <w:p w14:paraId="42FCC2E6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b/>
          <w:szCs w:val="22"/>
        </w:rPr>
      </w:pPr>
    </w:p>
    <w:p w14:paraId="75CDDB80" w14:textId="77777777" w:rsidR="0076165E" w:rsidRPr="000B0F7D" w:rsidRDefault="006230BC" w:rsidP="0076165E">
      <w:pPr>
        <w:autoSpaceDE w:val="0"/>
        <w:autoSpaceDN w:val="0"/>
        <w:adjustRightInd w:val="0"/>
        <w:jc w:val="both"/>
        <w:rPr>
          <w:b/>
          <w:szCs w:val="22"/>
        </w:rPr>
      </w:pPr>
      <w:r>
        <w:rPr>
          <w:b/>
          <w:szCs w:val="22"/>
        </w:rPr>
        <w:t>3</w:t>
      </w:r>
      <w:r w:rsidR="0076165E" w:rsidRPr="000B0F7D">
        <w:rPr>
          <w:b/>
          <w:szCs w:val="22"/>
        </w:rPr>
        <w:t>.1 Cílové druhy zvířat</w:t>
      </w:r>
    </w:p>
    <w:p w14:paraId="756AB78E" w14:textId="77777777" w:rsidR="0076165E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</w:p>
    <w:p w14:paraId="1A10BEBF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  <w:r w:rsidRPr="000B0F7D">
        <w:rPr>
          <w:szCs w:val="22"/>
        </w:rPr>
        <w:t>Skot, prasata.</w:t>
      </w:r>
    </w:p>
    <w:p w14:paraId="0F72581E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b/>
          <w:szCs w:val="22"/>
        </w:rPr>
      </w:pPr>
    </w:p>
    <w:p w14:paraId="30AB2940" w14:textId="77777777" w:rsidR="006230BC" w:rsidRPr="00B41D57" w:rsidRDefault="006230BC" w:rsidP="006230BC">
      <w:pPr>
        <w:pStyle w:val="Style1"/>
      </w:pPr>
      <w:r w:rsidRPr="00B41D57">
        <w:t>3.2</w:t>
      </w:r>
      <w:r w:rsidRPr="00B41D57">
        <w:tab/>
        <w:t>Indikace pro použití pro každý cílový druh zvíř</w:t>
      </w:r>
      <w:r>
        <w:t>at</w:t>
      </w:r>
    </w:p>
    <w:p w14:paraId="315A587D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szCs w:val="22"/>
          <w:u w:val="single"/>
        </w:rPr>
      </w:pPr>
    </w:p>
    <w:p w14:paraId="72017DE3" w14:textId="1D78A1D1" w:rsidR="0076165E" w:rsidRPr="000B0F7D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  <w:r w:rsidRPr="000B0F7D">
        <w:rPr>
          <w:szCs w:val="22"/>
          <w:u w:val="single"/>
        </w:rPr>
        <w:t>Skot:</w:t>
      </w:r>
      <w:r w:rsidRPr="000B0F7D">
        <w:rPr>
          <w:szCs w:val="22"/>
        </w:rPr>
        <w:t xml:space="preserve"> </w:t>
      </w:r>
      <w:r w:rsidR="00D3766F">
        <w:rPr>
          <w:szCs w:val="22"/>
        </w:rPr>
        <w:t xml:space="preserve">Léčba </w:t>
      </w:r>
      <w:r>
        <w:rPr>
          <w:szCs w:val="22"/>
        </w:rPr>
        <w:t>infekcí</w:t>
      </w:r>
      <w:r w:rsidRPr="000B0F7D">
        <w:rPr>
          <w:szCs w:val="22"/>
        </w:rPr>
        <w:t xml:space="preserve"> respiračníh</w:t>
      </w:r>
      <w:r>
        <w:rPr>
          <w:szCs w:val="22"/>
        </w:rPr>
        <w:t>o</w:t>
      </w:r>
      <w:r w:rsidRPr="000B0F7D">
        <w:rPr>
          <w:szCs w:val="22"/>
        </w:rPr>
        <w:t xml:space="preserve"> </w:t>
      </w:r>
      <w:r>
        <w:rPr>
          <w:szCs w:val="22"/>
        </w:rPr>
        <w:t>traktu</w:t>
      </w:r>
      <w:r w:rsidRPr="000B0F7D">
        <w:rPr>
          <w:szCs w:val="22"/>
        </w:rPr>
        <w:t xml:space="preserve"> </w:t>
      </w:r>
      <w:r w:rsidR="00D3766F">
        <w:rPr>
          <w:szCs w:val="22"/>
        </w:rPr>
        <w:t xml:space="preserve">vyvolaných </w:t>
      </w:r>
      <w:proofErr w:type="spellStart"/>
      <w:r w:rsidRPr="000B0F7D">
        <w:rPr>
          <w:i/>
          <w:iCs/>
          <w:szCs w:val="22"/>
        </w:rPr>
        <w:t>Mannheimia</w:t>
      </w:r>
      <w:proofErr w:type="spellEnd"/>
      <w:r w:rsidRPr="000B0F7D">
        <w:rPr>
          <w:i/>
          <w:iCs/>
          <w:szCs w:val="22"/>
        </w:rPr>
        <w:t xml:space="preserve"> </w:t>
      </w:r>
      <w:proofErr w:type="spellStart"/>
      <w:r w:rsidRPr="000B0F7D">
        <w:rPr>
          <w:i/>
          <w:iCs/>
          <w:szCs w:val="22"/>
        </w:rPr>
        <w:t>haemolytica</w:t>
      </w:r>
      <w:proofErr w:type="spellEnd"/>
      <w:r w:rsidRPr="000B0F7D">
        <w:rPr>
          <w:i/>
          <w:iCs/>
          <w:szCs w:val="22"/>
        </w:rPr>
        <w:t xml:space="preserve">, </w:t>
      </w:r>
      <w:proofErr w:type="spellStart"/>
      <w:r w:rsidRPr="000B0F7D">
        <w:rPr>
          <w:i/>
          <w:iCs/>
          <w:szCs w:val="22"/>
        </w:rPr>
        <w:t>Pasteurella</w:t>
      </w:r>
      <w:proofErr w:type="spellEnd"/>
      <w:r w:rsidRPr="000B0F7D">
        <w:rPr>
          <w:i/>
          <w:iCs/>
          <w:szCs w:val="22"/>
        </w:rPr>
        <w:t xml:space="preserve"> </w:t>
      </w:r>
      <w:proofErr w:type="spellStart"/>
      <w:r w:rsidRPr="000B0F7D">
        <w:rPr>
          <w:i/>
          <w:iCs/>
          <w:szCs w:val="22"/>
        </w:rPr>
        <w:t>multocida</w:t>
      </w:r>
      <w:proofErr w:type="spellEnd"/>
      <w:r w:rsidRPr="000B0F7D">
        <w:rPr>
          <w:i/>
          <w:iCs/>
          <w:szCs w:val="22"/>
        </w:rPr>
        <w:t xml:space="preserve"> </w:t>
      </w:r>
      <w:r w:rsidRPr="000B0F7D">
        <w:rPr>
          <w:szCs w:val="22"/>
        </w:rPr>
        <w:t xml:space="preserve">a </w:t>
      </w:r>
      <w:proofErr w:type="spellStart"/>
      <w:r w:rsidRPr="000B0F7D">
        <w:rPr>
          <w:i/>
          <w:iCs/>
          <w:szCs w:val="22"/>
        </w:rPr>
        <w:t>Histophilus</w:t>
      </w:r>
      <w:proofErr w:type="spellEnd"/>
      <w:r w:rsidRPr="000B0F7D">
        <w:rPr>
          <w:i/>
          <w:iCs/>
          <w:szCs w:val="22"/>
        </w:rPr>
        <w:t xml:space="preserve"> </w:t>
      </w:r>
      <w:proofErr w:type="spellStart"/>
      <w:r w:rsidRPr="000B0F7D">
        <w:rPr>
          <w:i/>
          <w:iCs/>
          <w:szCs w:val="22"/>
        </w:rPr>
        <w:t>somni</w:t>
      </w:r>
      <w:proofErr w:type="spellEnd"/>
      <w:r w:rsidRPr="000B0F7D">
        <w:rPr>
          <w:iCs/>
          <w:szCs w:val="22"/>
        </w:rPr>
        <w:t xml:space="preserve"> </w:t>
      </w:r>
      <w:r w:rsidRPr="000B0F7D">
        <w:rPr>
          <w:szCs w:val="22"/>
        </w:rPr>
        <w:t xml:space="preserve">citlivými </w:t>
      </w:r>
      <w:r>
        <w:rPr>
          <w:szCs w:val="22"/>
        </w:rPr>
        <w:t>k</w:t>
      </w:r>
      <w:r w:rsidRPr="000B0F7D">
        <w:rPr>
          <w:szCs w:val="22"/>
        </w:rPr>
        <w:t xml:space="preserve"> </w:t>
      </w:r>
      <w:proofErr w:type="spellStart"/>
      <w:r w:rsidRPr="000B0F7D">
        <w:rPr>
          <w:szCs w:val="22"/>
        </w:rPr>
        <w:t>florfenikol</w:t>
      </w:r>
      <w:r>
        <w:rPr>
          <w:szCs w:val="22"/>
        </w:rPr>
        <w:t>u</w:t>
      </w:r>
      <w:proofErr w:type="spellEnd"/>
      <w:r w:rsidRPr="000B0F7D">
        <w:rPr>
          <w:szCs w:val="22"/>
        </w:rPr>
        <w:t>.</w:t>
      </w:r>
    </w:p>
    <w:p w14:paraId="3E475C6F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szCs w:val="22"/>
          <w:u w:val="single"/>
        </w:rPr>
      </w:pPr>
    </w:p>
    <w:p w14:paraId="52B1E89D" w14:textId="0E56556B" w:rsidR="0076165E" w:rsidRPr="000B0F7D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  <w:r w:rsidRPr="000B0F7D">
        <w:rPr>
          <w:szCs w:val="22"/>
          <w:u w:val="single"/>
        </w:rPr>
        <w:t>Prasata:</w:t>
      </w:r>
      <w:r w:rsidR="00D3766F">
        <w:rPr>
          <w:szCs w:val="22"/>
        </w:rPr>
        <w:t xml:space="preserve"> Léčba</w:t>
      </w:r>
      <w:r w:rsidR="00D3766F" w:rsidRPr="000B0F7D">
        <w:rPr>
          <w:szCs w:val="22"/>
        </w:rPr>
        <w:t xml:space="preserve"> </w:t>
      </w:r>
      <w:r w:rsidRPr="000B0F7D">
        <w:rPr>
          <w:szCs w:val="22"/>
        </w:rPr>
        <w:t xml:space="preserve">akutního respiračního onemocnění prasat vyvolaného </w:t>
      </w:r>
      <w:r w:rsidRPr="000B0F7D">
        <w:rPr>
          <w:i/>
          <w:szCs w:val="22"/>
        </w:rPr>
        <w:t>Actinobacillus pleuropneumoniae</w:t>
      </w:r>
      <w:r w:rsidRPr="000B0F7D">
        <w:rPr>
          <w:szCs w:val="22"/>
        </w:rPr>
        <w:t xml:space="preserve"> a </w:t>
      </w:r>
      <w:r w:rsidRPr="000B0F7D">
        <w:rPr>
          <w:i/>
          <w:szCs w:val="22"/>
        </w:rPr>
        <w:t>Pasteurella multocida</w:t>
      </w:r>
      <w:r w:rsidRPr="000B0F7D">
        <w:rPr>
          <w:szCs w:val="22"/>
        </w:rPr>
        <w:t xml:space="preserve"> citlivými </w:t>
      </w:r>
      <w:r>
        <w:rPr>
          <w:szCs w:val="22"/>
        </w:rPr>
        <w:t>k</w:t>
      </w:r>
      <w:r w:rsidRPr="000B0F7D">
        <w:rPr>
          <w:szCs w:val="22"/>
        </w:rPr>
        <w:t xml:space="preserve"> florfenikol</w:t>
      </w:r>
      <w:r>
        <w:rPr>
          <w:szCs w:val="22"/>
        </w:rPr>
        <w:t>u</w:t>
      </w:r>
      <w:r w:rsidRPr="000B0F7D">
        <w:rPr>
          <w:szCs w:val="22"/>
        </w:rPr>
        <w:t>.</w:t>
      </w:r>
    </w:p>
    <w:p w14:paraId="0E35A428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</w:p>
    <w:p w14:paraId="3AE75332" w14:textId="77777777" w:rsidR="0076165E" w:rsidRPr="000B0F7D" w:rsidRDefault="006230BC" w:rsidP="0076165E">
      <w:pPr>
        <w:autoSpaceDE w:val="0"/>
        <w:autoSpaceDN w:val="0"/>
        <w:adjustRightInd w:val="0"/>
        <w:jc w:val="both"/>
        <w:rPr>
          <w:b/>
          <w:szCs w:val="22"/>
        </w:rPr>
      </w:pPr>
      <w:r>
        <w:rPr>
          <w:b/>
          <w:szCs w:val="22"/>
        </w:rPr>
        <w:t>3</w:t>
      </w:r>
      <w:r w:rsidR="0076165E" w:rsidRPr="000B0F7D">
        <w:rPr>
          <w:b/>
          <w:szCs w:val="22"/>
        </w:rPr>
        <w:t>.3 Kontraindikace</w:t>
      </w:r>
    </w:p>
    <w:p w14:paraId="576F75A3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</w:p>
    <w:p w14:paraId="6A00CB33" w14:textId="2117AC43" w:rsidR="0076165E" w:rsidRPr="000B0F7D" w:rsidRDefault="0076165E" w:rsidP="0076165E">
      <w:pPr>
        <w:jc w:val="both"/>
        <w:rPr>
          <w:szCs w:val="22"/>
        </w:rPr>
      </w:pPr>
      <w:r w:rsidRPr="000B0F7D">
        <w:rPr>
          <w:szCs w:val="22"/>
        </w:rPr>
        <w:t>Nepoužívat u dospělých býků a kanců</w:t>
      </w:r>
      <w:r>
        <w:rPr>
          <w:szCs w:val="22"/>
        </w:rPr>
        <w:t xml:space="preserve"> určených k </w:t>
      </w:r>
      <w:r w:rsidR="00D3766F">
        <w:rPr>
          <w:szCs w:val="22"/>
        </w:rPr>
        <w:t>plemenitbě</w:t>
      </w:r>
      <w:r w:rsidRPr="000B0F7D">
        <w:rPr>
          <w:szCs w:val="22"/>
        </w:rPr>
        <w:t>.</w:t>
      </w:r>
      <w:r w:rsidRPr="000B0F7D">
        <w:rPr>
          <w:b/>
          <w:szCs w:val="22"/>
        </w:rPr>
        <w:t xml:space="preserve"> </w:t>
      </w:r>
    </w:p>
    <w:p w14:paraId="3B804D54" w14:textId="77777777" w:rsidR="0076165E" w:rsidRDefault="0076165E" w:rsidP="0076165E">
      <w:pPr>
        <w:jc w:val="both"/>
        <w:rPr>
          <w:szCs w:val="22"/>
        </w:rPr>
      </w:pPr>
      <w:r w:rsidRPr="000B0F7D">
        <w:rPr>
          <w:szCs w:val="22"/>
        </w:rPr>
        <w:t xml:space="preserve">Nepoužívat u selat o </w:t>
      </w:r>
      <w:r>
        <w:rPr>
          <w:szCs w:val="22"/>
        </w:rPr>
        <w:t xml:space="preserve">živé </w:t>
      </w:r>
      <w:r w:rsidRPr="000B0F7D">
        <w:rPr>
          <w:szCs w:val="22"/>
        </w:rPr>
        <w:t xml:space="preserve">hmotnosti nižší než </w:t>
      </w:r>
      <w:smartTag w:uri="urn:schemas-microsoft-com:office:smarttags" w:element="metricconverter">
        <w:smartTagPr>
          <w:attr w:name="ProductID" w:val="2 kg"/>
        </w:smartTagPr>
        <w:r w:rsidRPr="000B0F7D">
          <w:rPr>
            <w:szCs w:val="22"/>
          </w:rPr>
          <w:t>2 kg</w:t>
        </w:r>
      </w:smartTag>
      <w:r w:rsidRPr="000B0F7D">
        <w:rPr>
          <w:szCs w:val="22"/>
        </w:rPr>
        <w:t>.</w:t>
      </w:r>
    </w:p>
    <w:p w14:paraId="44235546" w14:textId="24383745" w:rsidR="0076165E" w:rsidRPr="000B0F7D" w:rsidRDefault="0076165E" w:rsidP="0039313C">
      <w:pPr>
        <w:jc w:val="both"/>
        <w:rPr>
          <w:b/>
          <w:iCs/>
          <w:szCs w:val="22"/>
        </w:rPr>
      </w:pPr>
      <w:r w:rsidRPr="00DC5829">
        <w:rPr>
          <w:szCs w:val="22"/>
        </w:rPr>
        <w:t xml:space="preserve">Nepoužívat v případě </w:t>
      </w:r>
      <w:r w:rsidRPr="000B0F7D">
        <w:rPr>
          <w:iCs/>
          <w:szCs w:val="22"/>
        </w:rPr>
        <w:t>přecitlivělost</w:t>
      </w:r>
      <w:r>
        <w:rPr>
          <w:iCs/>
          <w:szCs w:val="22"/>
        </w:rPr>
        <w:t>i</w:t>
      </w:r>
      <w:r w:rsidRPr="000B0F7D">
        <w:rPr>
          <w:iCs/>
          <w:szCs w:val="22"/>
        </w:rPr>
        <w:t xml:space="preserve"> na </w:t>
      </w:r>
      <w:r w:rsidR="0039313C" w:rsidRPr="0039313C">
        <w:rPr>
          <w:iCs/>
          <w:szCs w:val="22"/>
        </w:rPr>
        <w:t>léčivou</w:t>
      </w:r>
      <w:r w:rsidR="0039313C">
        <w:rPr>
          <w:iCs/>
          <w:szCs w:val="22"/>
        </w:rPr>
        <w:t xml:space="preserve"> </w:t>
      </w:r>
      <w:r w:rsidR="00616AEF" w:rsidRPr="00616AEF">
        <w:rPr>
          <w:iCs/>
          <w:szCs w:val="22"/>
        </w:rPr>
        <w:t>látk</w:t>
      </w:r>
      <w:r w:rsidR="0039313C">
        <w:rPr>
          <w:iCs/>
          <w:szCs w:val="22"/>
        </w:rPr>
        <w:t>u</w:t>
      </w:r>
      <w:r w:rsidR="00616AEF" w:rsidRPr="00616AEF">
        <w:rPr>
          <w:iCs/>
          <w:szCs w:val="22"/>
        </w:rPr>
        <w:t xml:space="preserve"> </w:t>
      </w:r>
      <w:r w:rsidRPr="000B0F7D">
        <w:rPr>
          <w:iCs/>
          <w:szCs w:val="22"/>
        </w:rPr>
        <w:t>nebo na některou z pomocných látek.</w:t>
      </w:r>
    </w:p>
    <w:p w14:paraId="6A9899A0" w14:textId="77777777" w:rsidR="0076165E" w:rsidRPr="000B0F7D" w:rsidRDefault="0076165E" w:rsidP="0076165E">
      <w:pPr>
        <w:jc w:val="both"/>
        <w:rPr>
          <w:szCs w:val="22"/>
        </w:rPr>
      </w:pPr>
      <w:r w:rsidRPr="000B0F7D">
        <w:rPr>
          <w:iCs/>
          <w:szCs w:val="22"/>
        </w:rPr>
        <w:t>Nepodávat intravenózně.</w:t>
      </w:r>
    </w:p>
    <w:p w14:paraId="7B4A6C08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</w:p>
    <w:p w14:paraId="711F7819" w14:textId="77777777" w:rsidR="006230BC" w:rsidRPr="00B41D57" w:rsidRDefault="006230BC" w:rsidP="006230BC">
      <w:pPr>
        <w:pStyle w:val="Style1"/>
      </w:pPr>
      <w:r w:rsidRPr="00B41D57">
        <w:t>3.4</w:t>
      </w:r>
      <w:r w:rsidRPr="00B41D57">
        <w:tab/>
        <w:t>Zvláštní upozornění</w:t>
      </w:r>
    </w:p>
    <w:p w14:paraId="5F4F4766" w14:textId="77777777" w:rsidR="0076165E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</w:p>
    <w:p w14:paraId="7F72F8AE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  <w:r w:rsidRPr="000B0F7D">
        <w:rPr>
          <w:szCs w:val="22"/>
        </w:rPr>
        <w:t>Nejsou.</w:t>
      </w:r>
    </w:p>
    <w:p w14:paraId="78BB293D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</w:p>
    <w:p w14:paraId="3F29F715" w14:textId="77777777" w:rsidR="0076165E" w:rsidRPr="000B0F7D" w:rsidRDefault="006230BC" w:rsidP="0076165E">
      <w:pPr>
        <w:autoSpaceDE w:val="0"/>
        <w:autoSpaceDN w:val="0"/>
        <w:adjustRightInd w:val="0"/>
        <w:jc w:val="both"/>
        <w:rPr>
          <w:b/>
          <w:szCs w:val="22"/>
        </w:rPr>
      </w:pPr>
      <w:r>
        <w:rPr>
          <w:b/>
          <w:szCs w:val="22"/>
        </w:rPr>
        <w:t>3</w:t>
      </w:r>
      <w:r w:rsidR="0076165E" w:rsidRPr="000B0F7D">
        <w:rPr>
          <w:b/>
          <w:szCs w:val="22"/>
        </w:rPr>
        <w:t>.5 Zvláštní opatření pro použití</w:t>
      </w:r>
    </w:p>
    <w:p w14:paraId="47F8A616" w14:textId="77777777" w:rsidR="0076165E" w:rsidRDefault="0076165E" w:rsidP="0076165E">
      <w:pPr>
        <w:autoSpaceDE w:val="0"/>
        <w:autoSpaceDN w:val="0"/>
        <w:adjustRightInd w:val="0"/>
        <w:jc w:val="both"/>
        <w:rPr>
          <w:szCs w:val="22"/>
          <w:u w:val="single"/>
        </w:rPr>
      </w:pPr>
    </w:p>
    <w:p w14:paraId="29088272" w14:textId="77777777" w:rsidR="00616AEF" w:rsidRPr="00B41D57" w:rsidRDefault="00616AEF" w:rsidP="00616AEF">
      <w:pPr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5F8968CA" w14:textId="13A61434" w:rsidR="0076165E" w:rsidRDefault="005C07E3" w:rsidP="00CA311E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5C07E3">
        <w:rPr>
          <w:szCs w:val="22"/>
        </w:rPr>
        <w:t>Použití tohoto veterinárního léčivého přípravku by mělo být založeno na stanovení citlivosti bakterií izolovaných ze zvířete. Pokud to není možné, měla by být léčba založena na místních (regionálních</w:t>
      </w:r>
      <w:r w:rsidR="001A3E74">
        <w:rPr>
          <w:szCs w:val="22"/>
        </w:rPr>
        <w:t>, na úrovni farmy</w:t>
      </w:r>
      <w:r w:rsidRPr="005C07E3">
        <w:rPr>
          <w:szCs w:val="22"/>
        </w:rPr>
        <w:t xml:space="preserve">) </w:t>
      </w:r>
      <w:proofErr w:type="spellStart"/>
      <w:r w:rsidRPr="005C07E3">
        <w:rPr>
          <w:szCs w:val="22"/>
        </w:rPr>
        <w:t>epizootologických</w:t>
      </w:r>
      <w:proofErr w:type="spellEnd"/>
      <w:r w:rsidRPr="005C07E3">
        <w:rPr>
          <w:szCs w:val="22"/>
        </w:rPr>
        <w:t xml:space="preserve"> údajích o citlivosti cílových bakterií.</w:t>
      </w:r>
      <w:r w:rsidR="0076165E" w:rsidRPr="00596A0B">
        <w:rPr>
          <w:szCs w:val="22"/>
        </w:rPr>
        <w:t xml:space="preserve"> </w:t>
      </w:r>
    </w:p>
    <w:p w14:paraId="3585FE4D" w14:textId="71818C4B" w:rsidR="0076165E" w:rsidRDefault="0076165E" w:rsidP="00202280">
      <w:pPr>
        <w:autoSpaceDE w:val="0"/>
        <w:autoSpaceDN w:val="0"/>
        <w:adjustRightInd w:val="0"/>
        <w:ind w:left="0" w:firstLine="0"/>
        <w:jc w:val="both"/>
        <w:rPr>
          <w:szCs w:val="22"/>
          <w:lang w:val="fr-FR"/>
        </w:rPr>
      </w:pPr>
      <w:r w:rsidRPr="00596A0B">
        <w:rPr>
          <w:szCs w:val="22"/>
          <w:lang w:val="fr-FR"/>
        </w:rPr>
        <w:lastRenderedPageBreak/>
        <w:t xml:space="preserve">Při </w:t>
      </w:r>
      <w:r w:rsidR="00202280" w:rsidRPr="00202280">
        <w:rPr>
          <w:szCs w:val="22"/>
          <w:lang w:val="fr-FR"/>
        </w:rPr>
        <w:t xml:space="preserve">používání veterinárního léčivého </w:t>
      </w:r>
      <w:r w:rsidRPr="00596A0B">
        <w:rPr>
          <w:szCs w:val="22"/>
          <w:lang w:val="fr-FR"/>
        </w:rPr>
        <w:t xml:space="preserve"> přípravku je nutno vzít v úvahu oficiální a místní pravidla</w:t>
      </w:r>
      <w:r w:rsidR="00202280">
        <w:rPr>
          <w:szCs w:val="22"/>
          <w:lang w:val="fr-FR"/>
        </w:rPr>
        <w:t xml:space="preserve"> </w:t>
      </w:r>
      <w:r w:rsidRPr="00596A0B">
        <w:rPr>
          <w:szCs w:val="22"/>
          <w:lang w:val="fr-FR"/>
        </w:rPr>
        <w:t>antibiotické politiky</w:t>
      </w:r>
      <w:r w:rsidRPr="00785516">
        <w:rPr>
          <w:szCs w:val="22"/>
          <w:lang w:val="fr-FR"/>
        </w:rPr>
        <w:t xml:space="preserve">. </w:t>
      </w:r>
    </w:p>
    <w:p w14:paraId="70799F8B" w14:textId="11F00D8A" w:rsidR="0076165E" w:rsidRPr="006D6E88" w:rsidRDefault="0076165E" w:rsidP="00CA311E">
      <w:pPr>
        <w:autoSpaceDE w:val="0"/>
        <w:autoSpaceDN w:val="0"/>
        <w:adjustRightInd w:val="0"/>
        <w:ind w:left="0" w:firstLine="0"/>
        <w:jc w:val="both"/>
        <w:rPr>
          <w:bCs/>
          <w:szCs w:val="22"/>
          <w:lang w:val="fr-FR"/>
        </w:rPr>
      </w:pPr>
      <w:r w:rsidRPr="006D6E88">
        <w:rPr>
          <w:szCs w:val="22"/>
        </w:rPr>
        <w:t>Použití</w:t>
      </w:r>
      <w:r w:rsidR="00202280">
        <w:rPr>
          <w:szCs w:val="22"/>
        </w:rPr>
        <w:t xml:space="preserve"> </w:t>
      </w:r>
      <w:r w:rsidR="002D6C74">
        <w:rPr>
          <w:szCs w:val="22"/>
        </w:rPr>
        <w:t>v</w:t>
      </w:r>
      <w:r w:rsidR="00202280" w:rsidRPr="00202280">
        <w:rPr>
          <w:szCs w:val="22"/>
        </w:rPr>
        <w:t>eterinárního léčivého</w:t>
      </w:r>
      <w:r w:rsidRPr="006D6E88">
        <w:rPr>
          <w:szCs w:val="22"/>
        </w:rPr>
        <w:t xml:space="preserve"> přípravku, které je odlišné od pokynů uvedených v tomto souhrnu údajů o přípravku (SPC), může zvýšit prevalenci bakterií rezistentních ke</w:t>
      </w:r>
      <w:r w:rsidRPr="00C42667">
        <w:rPr>
          <w:szCs w:val="22"/>
          <w:lang w:val="fr-FR"/>
        </w:rPr>
        <w:t xml:space="preserve"> florfenikolu a může snížit účinnost léčby </w:t>
      </w:r>
      <w:r w:rsidRPr="00CB14F2">
        <w:rPr>
          <w:szCs w:val="22"/>
          <w:lang w:val="fr-FR"/>
        </w:rPr>
        <w:t>ostatními</w:t>
      </w:r>
      <w:r w:rsidRPr="006D6E88">
        <w:rPr>
          <w:szCs w:val="22"/>
          <w:lang w:val="fr-FR"/>
        </w:rPr>
        <w:t xml:space="preserve"> amfenikoly a jinými </w:t>
      </w:r>
      <w:r w:rsidR="00D3766F" w:rsidRPr="006D6E88">
        <w:rPr>
          <w:szCs w:val="22"/>
          <w:lang w:val="fr-FR"/>
        </w:rPr>
        <w:t>antimikrob</w:t>
      </w:r>
      <w:r w:rsidR="00D3766F">
        <w:rPr>
          <w:szCs w:val="22"/>
          <w:lang w:val="fr-FR"/>
        </w:rPr>
        <w:t>ními</w:t>
      </w:r>
      <w:r w:rsidR="00D3766F" w:rsidRPr="006D6E88">
        <w:rPr>
          <w:szCs w:val="22"/>
          <w:lang w:val="fr-FR"/>
        </w:rPr>
        <w:t xml:space="preserve"> </w:t>
      </w:r>
      <w:r w:rsidRPr="006D6E88">
        <w:rPr>
          <w:szCs w:val="22"/>
          <w:lang w:val="fr-FR"/>
        </w:rPr>
        <w:t>přípravky v důsledku možné zkřížené rezistence.</w:t>
      </w:r>
    </w:p>
    <w:p w14:paraId="04EA93F5" w14:textId="77777777" w:rsidR="0076165E" w:rsidRPr="004F3E54" w:rsidRDefault="0076165E" w:rsidP="005D4EE7">
      <w:pPr>
        <w:autoSpaceDE w:val="0"/>
        <w:autoSpaceDN w:val="0"/>
        <w:adjustRightInd w:val="0"/>
        <w:ind w:left="0" w:firstLine="0"/>
        <w:jc w:val="both"/>
        <w:rPr>
          <w:szCs w:val="22"/>
          <w:u w:val="single"/>
        </w:rPr>
      </w:pPr>
    </w:p>
    <w:p w14:paraId="363AC63E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  <w:r w:rsidRPr="000B0F7D">
        <w:rPr>
          <w:szCs w:val="22"/>
          <w:u w:val="single"/>
        </w:rPr>
        <w:t xml:space="preserve">Zvláštní opatření </w:t>
      </w:r>
      <w:r w:rsidR="0039313C" w:rsidRPr="00B41D57">
        <w:rPr>
          <w:szCs w:val="22"/>
          <w:u w:val="single"/>
        </w:rPr>
        <w:t>pro osobu, která podává</w:t>
      </w:r>
      <w:r w:rsidR="0039313C" w:rsidRPr="000B0F7D" w:rsidDel="0039313C">
        <w:rPr>
          <w:szCs w:val="22"/>
          <w:u w:val="single"/>
        </w:rPr>
        <w:t xml:space="preserve"> </w:t>
      </w:r>
      <w:r w:rsidRPr="000B0F7D">
        <w:rPr>
          <w:szCs w:val="22"/>
          <w:u w:val="single"/>
        </w:rPr>
        <w:t>veterinární léčivý přípravek zvířatům</w:t>
      </w:r>
      <w:r w:rsidRPr="000B0F7D">
        <w:rPr>
          <w:szCs w:val="22"/>
        </w:rPr>
        <w:t xml:space="preserve"> </w:t>
      </w:r>
    </w:p>
    <w:p w14:paraId="07D400C2" w14:textId="6C33AA8D" w:rsidR="0076165E" w:rsidRPr="000B0F7D" w:rsidRDefault="00853604" w:rsidP="00CA311E">
      <w:pPr>
        <w:widowControl w:val="0"/>
        <w:ind w:left="0" w:firstLine="0"/>
        <w:jc w:val="both"/>
        <w:rPr>
          <w:szCs w:val="22"/>
        </w:rPr>
      </w:pPr>
      <w:r>
        <w:rPr>
          <w:szCs w:val="22"/>
        </w:rPr>
        <w:t xml:space="preserve">Zabraňte </w:t>
      </w:r>
      <w:r w:rsidR="0076165E">
        <w:rPr>
          <w:szCs w:val="22"/>
        </w:rPr>
        <w:t xml:space="preserve">náhodnému </w:t>
      </w:r>
      <w:proofErr w:type="spellStart"/>
      <w:r w:rsidR="0076165E">
        <w:rPr>
          <w:szCs w:val="22"/>
        </w:rPr>
        <w:t>samopodáni</w:t>
      </w:r>
      <w:proofErr w:type="spellEnd"/>
      <w:r w:rsidR="0076165E">
        <w:rPr>
          <w:szCs w:val="22"/>
        </w:rPr>
        <w:t xml:space="preserve"> injekce.</w:t>
      </w:r>
      <w:r w:rsidR="0076165E" w:rsidRPr="000B0F7D">
        <w:rPr>
          <w:szCs w:val="22"/>
        </w:rPr>
        <w:t xml:space="preserve"> V případě náhodného sebepoškození injekčně </w:t>
      </w:r>
      <w:r>
        <w:rPr>
          <w:szCs w:val="22"/>
        </w:rPr>
        <w:t>podaným</w:t>
      </w:r>
      <w:r w:rsidRPr="000B0F7D">
        <w:rPr>
          <w:szCs w:val="22"/>
        </w:rPr>
        <w:t xml:space="preserve"> </w:t>
      </w:r>
      <w:r w:rsidR="0076165E" w:rsidRPr="000B0F7D">
        <w:rPr>
          <w:szCs w:val="22"/>
        </w:rPr>
        <w:t>přípravkem vyhledejte ihned lékařskou pomoc a ukažte příbalovou informaci nebo etiketu praktickému lékaři.</w:t>
      </w:r>
    </w:p>
    <w:p w14:paraId="6B2DC9D9" w14:textId="5A1505CF" w:rsidR="0076165E" w:rsidRPr="000B0F7D" w:rsidRDefault="0076165E" w:rsidP="00CA311E">
      <w:pPr>
        <w:widowControl w:val="0"/>
        <w:ind w:left="0" w:firstLine="0"/>
        <w:jc w:val="both"/>
        <w:rPr>
          <w:szCs w:val="22"/>
        </w:rPr>
      </w:pPr>
      <w:r w:rsidRPr="000B0F7D">
        <w:rPr>
          <w:szCs w:val="22"/>
        </w:rPr>
        <w:t xml:space="preserve">Zabraňte přímému kontaktu </w:t>
      </w:r>
      <w:r>
        <w:rPr>
          <w:szCs w:val="22"/>
        </w:rPr>
        <w:t>s kůží</w:t>
      </w:r>
      <w:r w:rsidRPr="000B0F7D">
        <w:rPr>
          <w:szCs w:val="22"/>
        </w:rPr>
        <w:t>, ústy a očima. V případě zasažení očí je ihned vypláchněte čistou vodou. V případě potřísnění pokožky omyjte zasaženou část čistou vodou. V případě náhodného po</w:t>
      </w:r>
      <w:r w:rsidR="00853604">
        <w:rPr>
          <w:szCs w:val="22"/>
        </w:rPr>
        <w:t>žití</w:t>
      </w:r>
      <w:r w:rsidRPr="000B0F7D">
        <w:rPr>
          <w:szCs w:val="22"/>
        </w:rPr>
        <w:t xml:space="preserve"> vypláchněte ústa dostatečným množstvím vody a vyhledejte</w:t>
      </w:r>
      <w:r>
        <w:rPr>
          <w:szCs w:val="22"/>
        </w:rPr>
        <w:t xml:space="preserve"> </w:t>
      </w:r>
      <w:r w:rsidRPr="000B0F7D">
        <w:rPr>
          <w:szCs w:val="22"/>
        </w:rPr>
        <w:t>ihned lékařskou pomoc.</w:t>
      </w:r>
    </w:p>
    <w:p w14:paraId="56A56C96" w14:textId="77777777" w:rsidR="0076165E" w:rsidRPr="000B0F7D" w:rsidRDefault="0076165E" w:rsidP="0076165E">
      <w:pPr>
        <w:widowControl w:val="0"/>
        <w:jc w:val="both"/>
        <w:rPr>
          <w:szCs w:val="22"/>
        </w:rPr>
      </w:pPr>
      <w:r w:rsidRPr="000B0F7D">
        <w:rPr>
          <w:szCs w:val="22"/>
        </w:rPr>
        <w:t xml:space="preserve">Po použití si umyjte ruce. </w:t>
      </w:r>
    </w:p>
    <w:p w14:paraId="23439FEB" w14:textId="05064066" w:rsidR="0076165E" w:rsidRDefault="0076165E" w:rsidP="00CA311E">
      <w:pPr>
        <w:widowControl w:val="0"/>
        <w:ind w:left="0" w:firstLine="0"/>
        <w:jc w:val="both"/>
        <w:rPr>
          <w:szCs w:val="22"/>
        </w:rPr>
      </w:pPr>
      <w:r w:rsidRPr="000B0F7D">
        <w:rPr>
          <w:szCs w:val="22"/>
        </w:rPr>
        <w:t>Lidé se známou přecitlivělostí na florfenikol by se měli vyhnout kontaktu s veterinárním léčivým přípravkem.</w:t>
      </w:r>
    </w:p>
    <w:p w14:paraId="5BE1460C" w14:textId="64019055" w:rsidR="00853604" w:rsidRPr="000B0F7D" w:rsidRDefault="00853604" w:rsidP="00CA311E">
      <w:pPr>
        <w:widowControl w:val="0"/>
        <w:ind w:left="0" w:firstLine="0"/>
        <w:jc w:val="both"/>
        <w:rPr>
          <w:szCs w:val="22"/>
        </w:rPr>
      </w:pPr>
      <w:r>
        <w:rPr>
          <w:szCs w:val="22"/>
        </w:rPr>
        <w:t>Při nakládání s tímto veterinárním léčivým přípravkem nekuřte, nejezte a nepijte.</w:t>
      </w:r>
    </w:p>
    <w:p w14:paraId="5910A9DE" w14:textId="3579B4FA" w:rsidR="00675208" w:rsidRDefault="00675208" w:rsidP="00CA311E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>
        <w:rPr>
          <w:szCs w:val="22"/>
        </w:rPr>
        <w:t xml:space="preserve">Laboratorní studie u králíků a potkanů s pomocnou látkou </w:t>
      </w:r>
      <w:proofErr w:type="spellStart"/>
      <w:r>
        <w:rPr>
          <w:szCs w:val="22"/>
        </w:rPr>
        <w:t>methylpyrrolidon</w:t>
      </w:r>
      <w:proofErr w:type="spellEnd"/>
      <w:r>
        <w:rPr>
          <w:szCs w:val="22"/>
        </w:rPr>
        <w:t xml:space="preserve"> prokázaly </w:t>
      </w:r>
      <w:proofErr w:type="spellStart"/>
      <w:r>
        <w:rPr>
          <w:szCs w:val="22"/>
        </w:rPr>
        <w:t>fetotoxický</w:t>
      </w:r>
      <w:proofErr w:type="spellEnd"/>
      <w:r>
        <w:rPr>
          <w:szCs w:val="22"/>
        </w:rPr>
        <w:t xml:space="preserve"> účinek. Ženy ve fertilním věku, těhotné ženy nebo ženy s podezřením na těhotenství by měly veterinární léčivý přípravek používat s velkou obezřetností, aby se zabránilo náhodnému sebepoškození injekčně podaným přípravkem.</w:t>
      </w:r>
    </w:p>
    <w:p w14:paraId="296133B7" w14:textId="77777777" w:rsidR="002106AB" w:rsidRDefault="002106AB" w:rsidP="00CA311E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</w:p>
    <w:p w14:paraId="1109C621" w14:textId="77777777" w:rsidR="00202280" w:rsidRPr="00B41D57" w:rsidRDefault="00202280" w:rsidP="00202280">
      <w:pPr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29BE3ABD" w14:textId="70557A8F" w:rsidR="0076165E" w:rsidRPr="000B0F7D" w:rsidRDefault="00202280" w:rsidP="005D4EE7">
      <w:pPr>
        <w:autoSpaceDE w:val="0"/>
        <w:autoSpaceDN w:val="0"/>
        <w:adjustRightInd w:val="0"/>
        <w:ind w:left="0" w:firstLine="0"/>
        <w:rPr>
          <w:szCs w:val="22"/>
        </w:rPr>
      </w:pPr>
      <w:r w:rsidRPr="00B41D57">
        <w:t>Neuplatňuje se.</w:t>
      </w:r>
    </w:p>
    <w:p w14:paraId="01E02939" w14:textId="77777777" w:rsidR="00AA2825" w:rsidRDefault="00AA2825" w:rsidP="0076165E">
      <w:pPr>
        <w:autoSpaceDE w:val="0"/>
        <w:autoSpaceDN w:val="0"/>
        <w:adjustRightInd w:val="0"/>
        <w:rPr>
          <w:b/>
          <w:szCs w:val="22"/>
        </w:rPr>
      </w:pPr>
    </w:p>
    <w:p w14:paraId="0F9A2AE7" w14:textId="77777777" w:rsidR="0076165E" w:rsidRPr="000B0F7D" w:rsidRDefault="006230BC" w:rsidP="0076165E">
      <w:pPr>
        <w:autoSpaceDE w:val="0"/>
        <w:autoSpaceDN w:val="0"/>
        <w:adjustRightInd w:val="0"/>
        <w:rPr>
          <w:b/>
          <w:szCs w:val="22"/>
        </w:rPr>
      </w:pPr>
      <w:r>
        <w:rPr>
          <w:b/>
          <w:szCs w:val="22"/>
        </w:rPr>
        <w:t>3</w:t>
      </w:r>
      <w:r w:rsidR="0076165E" w:rsidRPr="000B0F7D">
        <w:rPr>
          <w:b/>
          <w:szCs w:val="22"/>
        </w:rPr>
        <w:t xml:space="preserve">.6 Nežádoucí účinky </w:t>
      </w:r>
    </w:p>
    <w:p w14:paraId="286CA66E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</w:p>
    <w:p w14:paraId="6B399184" w14:textId="77777777" w:rsidR="0076165E" w:rsidRDefault="0076165E" w:rsidP="0076165E">
      <w:pPr>
        <w:pStyle w:val="Zkladntext2"/>
        <w:rPr>
          <w:szCs w:val="22"/>
        </w:rPr>
      </w:pPr>
      <w:r w:rsidRPr="002D6C74">
        <w:rPr>
          <w:b w:val="0"/>
          <w:bCs/>
          <w:szCs w:val="22"/>
        </w:rPr>
        <w:t>Skot</w:t>
      </w:r>
      <w:r w:rsidRPr="000B0F7D">
        <w:rPr>
          <w:szCs w:val="22"/>
        </w:rPr>
        <w:t>:</w:t>
      </w:r>
    </w:p>
    <w:p w14:paraId="1A9060B4" w14:textId="77777777" w:rsidR="00AA2825" w:rsidRPr="000B0F7D" w:rsidRDefault="00AA2825" w:rsidP="0076165E">
      <w:pPr>
        <w:pStyle w:val="Zkladntext2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5659"/>
      </w:tblGrid>
      <w:tr w:rsidR="00202280" w14:paraId="73F5F414" w14:textId="77777777" w:rsidTr="007D30AE">
        <w:tc>
          <w:tcPr>
            <w:tcW w:w="1957" w:type="pct"/>
          </w:tcPr>
          <w:p w14:paraId="2FDA94A9" w14:textId="77777777" w:rsidR="00202280" w:rsidRPr="00B41D57" w:rsidRDefault="00202280" w:rsidP="007D30AE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6F85E4DE" w14:textId="77777777" w:rsidR="00202280" w:rsidRPr="00B41D57" w:rsidRDefault="00202280" w:rsidP="007D30AE">
            <w:pPr>
              <w:spacing w:before="60" w:after="60"/>
              <w:rPr>
                <w:szCs w:val="22"/>
              </w:rPr>
            </w:pPr>
            <w:r>
              <w:t>&lt;</w:t>
            </w:r>
            <w:r w:rsidRPr="00B41D57">
              <w:t>1 až 10 zvířat / 10 000 ošetřených zvířat:</w:t>
            </w:r>
          </w:p>
        </w:tc>
        <w:tc>
          <w:tcPr>
            <w:tcW w:w="3043" w:type="pct"/>
          </w:tcPr>
          <w:p w14:paraId="7EAA11CE" w14:textId="77777777" w:rsidR="003961E2" w:rsidRDefault="003961E2" w:rsidP="003961E2">
            <w:pPr>
              <w:spacing w:before="60" w:after="60"/>
            </w:pPr>
            <w:r>
              <w:t>Snížený příjem potravy</w:t>
            </w:r>
            <w:r w:rsidRPr="003961E2">
              <w:rPr>
                <w:vertAlign w:val="superscript"/>
              </w:rPr>
              <w:t>1</w:t>
            </w:r>
            <w:r>
              <w:t xml:space="preserve">; </w:t>
            </w:r>
          </w:p>
          <w:p w14:paraId="5D7A0119" w14:textId="6337B69B" w:rsidR="003961E2" w:rsidRDefault="0012160E" w:rsidP="003961E2">
            <w:pPr>
              <w:spacing w:before="60" w:after="60"/>
            </w:pPr>
            <w:r>
              <w:t>Ř</w:t>
            </w:r>
            <w:r w:rsidR="003961E2">
              <w:t>ídká stolice</w:t>
            </w:r>
            <w:r w:rsidR="00AA2825">
              <w:rPr>
                <w:vertAlign w:val="superscript"/>
              </w:rPr>
              <w:t>1</w:t>
            </w:r>
            <w:r w:rsidR="003961E2">
              <w:t xml:space="preserve">; </w:t>
            </w:r>
          </w:p>
          <w:p w14:paraId="2C890043" w14:textId="6B6541F5" w:rsidR="00202280" w:rsidRDefault="003961E2" w:rsidP="003961E2">
            <w:pPr>
              <w:spacing w:before="60" w:after="60"/>
              <w:rPr>
                <w:vertAlign w:val="superscript"/>
              </w:rPr>
            </w:pPr>
            <w:r>
              <w:t>Zánět v místě vpichu</w:t>
            </w:r>
            <w:r w:rsidRPr="003961E2">
              <w:rPr>
                <w:vertAlign w:val="superscript"/>
              </w:rPr>
              <w:t>2</w:t>
            </w:r>
            <w:r>
              <w:t xml:space="preserve">; </w:t>
            </w:r>
            <w:r w:rsidR="0012160E">
              <w:t>l</w:t>
            </w:r>
            <w:r>
              <w:t>éze v místě vpichu</w:t>
            </w:r>
            <w:r w:rsidRPr="003961E2">
              <w:rPr>
                <w:vertAlign w:val="superscript"/>
              </w:rPr>
              <w:t>2</w:t>
            </w:r>
          </w:p>
          <w:p w14:paraId="1EDBDE90" w14:textId="77777777" w:rsidR="00AA2825" w:rsidRPr="00B41D57" w:rsidRDefault="00AA2825" w:rsidP="003961E2">
            <w:pPr>
              <w:spacing w:before="60" w:after="60"/>
              <w:rPr>
                <w:iCs/>
                <w:szCs w:val="22"/>
              </w:rPr>
            </w:pPr>
            <w:r w:rsidRPr="00AA2825">
              <w:rPr>
                <w:iCs/>
                <w:szCs w:val="22"/>
              </w:rPr>
              <w:t>Anafylaxe.</w:t>
            </w:r>
          </w:p>
        </w:tc>
      </w:tr>
    </w:tbl>
    <w:p w14:paraId="3DA1A531" w14:textId="77777777" w:rsidR="003961E2" w:rsidRPr="002D6C74" w:rsidRDefault="003961E2" w:rsidP="00CA311E">
      <w:pPr>
        <w:pStyle w:val="Zkladntext2"/>
        <w:ind w:left="0" w:firstLine="0"/>
        <w:rPr>
          <w:b w:val="0"/>
          <w:bCs/>
          <w:szCs w:val="22"/>
        </w:rPr>
      </w:pPr>
      <w:r w:rsidRPr="002D6C74">
        <w:rPr>
          <w:b w:val="0"/>
          <w:bCs/>
          <w:szCs w:val="22"/>
          <w:vertAlign w:val="superscript"/>
        </w:rPr>
        <w:t>1</w:t>
      </w:r>
      <w:r w:rsidRPr="002D6C74">
        <w:rPr>
          <w:b w:val="0"/>
          <w:bCs/>
          <w:szCs w:val="22"/>
        </w:rPr>
        <w:t xml:space="preserve"> Rychlé a úplné zotavení po ukončení léčby.</w:t>
      </w:r>
    </w:p>
    <w:p w14:paraId="4CD3F0BC" w14:textId="4F0FE058" w:rsidR="0076165E" w:rsidRPr="00DC5829" w:rsidRDefault="003961E2" w:rsidP="0076165E">
      <w:pPr>
        <w:autoSpaceDE w:val="0"/>
        <w:autoSpaceDN w:val="0"/>
        <w:adjustRightInd w:val="0"/>
        <w:jc w:val="both"/>
        <w:rPr>
          <w:szCs w:val="22"/>
        </w:rPr>
      </w:pPr>
      <w:r w:rsidRPr="003961E2">
        <w:rPr>
          <w:szCs w:val="22"/>
          <w:vertAlign w:val="superscript"/>
        </w:rPr>
        <w:t>2</w:t>
      </w:r>
      <w:r w:rsidRPr="003961E2">
        <w:rPr>
          <w:szCs w:val="22"/>
        </w:rPr>
        <w:t xml:space="preserve"> Může přetrvávat 14 dní po intramuskulárním podání</w:t>
      </w:r>
    </w:p>
    <w:p w14:paraId="79C73B87" w14:textId="77777777" w:rsidR="00AA2825" w:rsidRDefault="00AA2825" w:rsidP="0076165E">
      <w:pPr>
        <w:autoSpaceDE w:val="0"/>
        <w:autoSpaceDN w:val="0"/>
        <w:adjustRightInd w:val="0"/>
        <w:jc w:val="both"/>
        <w:rPr>
          <w:szCs w:val="22"/>
        </w:rPr>
      </w:pPr>
    </w:p>
    <w:p w14:paraId="6B43A513" w14:textId="77777777" w:rsidR="0076165E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  <w:r w:rsidRPr="000B0F7D">
        <w:rPr>
          <w:szCs w:val="22"/>
        </w:rPr>
        <w:t>Prasata:</w:t>
      </w:r>
    </w:p>
    <w:p w14:paraId="1D20ADA2" w14:textId="77777777" w:rsidR="00AA2825" w:rsidRPr="000B0F7D" w:rsidRDefault="00AA2825" w:rsidP="0076165E">
      <w:pPr>
        <w:autoSpaceDE w:val="0"/>
        <w:autoSpaceDN w:val="0"/>
        <w:adjustRightInd w:val="0"/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5659"/>
      </w:tblGrid>
      <w:tr w:rsidR="003961E2" w14:paraId="4C4F27FF" w14:textId="77777777" w:rsidTr="007D30AE">
        <w:tc>
          <w:tcPr>
            <w:tcW w:w="1957" w:type="pct"/>
          </w:tcPr>
          <w:p w14:paraId="09B1F0B4" w14:textId="77777777" w:rsidR="003961E2" w:rsidRPr="00B41D57" w:rsidRDefault="003961E2" w:rsidP="007D30AE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0A6BDC7F" w14:textId="77777777" w:rsidR="003961E2" w:rsidRPr="00B41D57" w:rsidRDefault="003961E2" w:rsidP="007D30AE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66F6A2F7" w14:textId="77777777" w:rsidR="003961E2" w:rsidRDefault="003961E2" w:rsidP="003961E2">
            <w:pPr>
              <w:spacing w:before="60" w:after="60"/>
            </w:pPr>
            <w:r>
              <w:t>Průjem</w:t>
            </w:r>
            <w:r w:rsidRPr="003961E2">
              <w:rPr>
                <w:vertAlign w:val="superscript"/>
              </w:rPr>
              <w:t>1</w:t>
            </w:r>
            <w:r>
              <w:t>;</w:t>
            </w:r>
          </w:p>
          <w:p w14:paraId="1ED6CBBA" w14:textId="2F1E7A5E" w:rsidR="003961E2" w:rsidRDefault="0012160E" w:rsidP="003961E2">
            <w:pPr>
              <w:spacing w:before="60" w:after="60"/>
            </w:pPr>
            <w:proofErr w:type="spellStart"/>
            <w:r>
              <w:t>P</w:t>
            </w:r>
            <w:r w:rsidR="003961E2">
              <w:t>erianální</w:t>
            </w:r>
            <w:proofErr w:type="spellEnd"/>
            <w:r w:rsidR="003961E2">
              <w:t xml:space="preserve"> zánět</w:t>
            </w:r>
            <w:r w:rsidR="003961E2" w:rsidRPr="003961E2">
              <w:rPr>
                <w:vertAlign w:val="superscript"/>
              </w:rPr>
              <w:t>1</w:t>
            </w:r>
            <w:r w:rsidR="003961E2">
              <w:t>, rektální edém</w:t>
            </w:r>
            <w:r w:rsidR="003961E2" w:rsidRPr="003961E2">
              <w:rPr>
                <w:vertAlign w:val="superscript"/>
              </w:rPr>
              <w:t>1</w:t>
            </w:r>
            <w:r w:rsidR="003961E2">
              <w:t>;</w:t>
            </w:r>
          </w:p>
          <w:p w14:paraId="31526AEC" w14:textId="3F493F4A" w:rsidR="003961E2" w:rsidRDefault="0012160E" w:rsidP="003961E2">
            <w:pPr>
              <w:spacing w:before="60" w:after="60"/>
            </w:pPr>
            <w:r>
              <w:t>P</w:t>
            </w:r>
            <w:r w:rsidR="003961E2">
              <w:t>yrexie</w:t>
            </w:r>
            <w:r w:rsidR="003961E2" w:rsidRPr="003961E2">
              <w:rPr>
                <w:vertAlign w:val="superscript"/>
              </w:rPr>
              <w:t>2</w:t>
            </w:r>
            <w:r w:rsidR="003961E2">
              <w:t>, deprese</w:t>
            </w:r>
            <w:r w:rsidR="003961E2" w:rsidRPr="003961E2">
              <w:rPr>
                <w:vertAlign w:val="superscript"/>
              </w:rPr>
              <w:t>2</w:t>
            </w:r>
            <w:r w:rsidR="00332C09">
              <w:rPr>
                <w:vertAlign w:val="superscript"/>
              </w:rPr>
              <w:t>,</w:t>
            </w:r>
            <w:r w:rsidR="00AA2825">
              <w:rPr>
                <w:vertAlign w:val="superscript"/>
              </w:rPr>
              <w:t>3</w:t>
            </w:r>
            <w:r w:rsidR="003961E2">
              <w:t xml:space="preserve">; </w:t>
            </w:r>
          </w:p>
          <w:p w14:paraId="41DCBD18" w14:textId="780DDD3C" w:rsidR="003961E2" w:rsidRPr="00B41D57" w:rsidRDefault="0012160E" w:rsidP="003961E2">
            <w:pPr>
              <w:spacing w:before="60" w:after="60"/>
              <w:rPr>
                <w:iCs/>
                <w:szCs w:val="22"/>
              </w:rPr>
            </w:pPr>
            <w:r>
              <w:t>D</w:t>
            </w:r>
            <w:r w:rsidR="003961E2">
              <w:t>yspnoe</w:t>
            </w:r>
            <w:r w:rsidR="003961E2" w:rsidRPr="003961E2">
              <w:rPr>
                <w:vertAlign w:val="superscript"/>
              </w:rPr>
              <w:t>2</w:t>
            </w:r>
            <w:r w:rsidR="00332C09">
              <w:rPr>
                <w:vertAlign w:val="superscript"/>
              </w:rPr>
              <w:t>,</w:t>
            </w:r>
            <w:r w:rsidR="00AA2825">
              <w:rPr>
                <w:vertAlign w:val="superscript"/>
              </w:rPr>
              <w:t>3</w:t>
            </w:r>
            <w:r w:rsidR="003961E2">
              <w:t>;</w:t>
            </w:r>
          </w:p>
        </w:tc>
      </w:tr>
      <w:tr w:rsidR="003961E2" w14:paraId="2EABFEB3" w14:textId="77777777" w:rsidTr="007D30AE">
        <w:tc>
          <w:tcPr>
            <w:tcW w:w="1957" w:type="pct"/>
          </w:tcPr>
          <w:p w14:paraId="13BE3928" w14:textId="77777777" w:rsidR="003961E2" w:rsidRPr="00B41D57" w:rsidRDefault="003961E2" w:rsidP="007D30AE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03A36D01" w14:textId="77777777" w:rsidR="003961E2" w:rsidRPr="00B41D57" w:rsidRDefault="003961E2" w:rsidP="007D30AE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2F997F0E" w14:textId="4C348FD6" w:rsidR="003961E2" w:rsidRPr="00B41D57" w:rsidRDefault="003961E2" w:rsidP="003961E2">
            <w:pPr>
              <w:spacing w:before="60" w:after="60"/>
              <w:ind w:left="42" w:hanging="42"/>
              <w:rPr>
                <w:iCs/>
                <w:szCs w:val="22"/>
              </w:rPr>
            </w:pPr>
            <w:r w:rsidRPr="003961E2">
              <w:t>Otok v místě vpichu</w:t>
            </w:r>
            <w:r w:rsidR="00AA2825">
              <w:rPr>
                <w:vertAlign w:val="superscript"/>
              </w:rPr>
              <w:t>4</w:t>
            </w:r>
            <w:r w:rsidRPr="003961E2">
              <w:t xml:space="preserve">, </w:t>
            </w:r>
            <w:r w:rsidR="0012160E">
              <w:t>l</w:t>
            </w:r>
            <w:r w:rsidRPr="003961E2">
              <w:t>éze v místě vpichu</w:t>
            </w:r>
            <w:r w:rsidR="00AA2825">
              <w:rPr>
                <w:vertAlign w:val="superscript"/>
              </w:rPr>
              <w:t>5</w:t>
            </w:r>
            <w:r w:rsidRPr="003961E2">
              <w:t xml:space="preserve">, </w:t>
            </w:r>
            <w:r w:rsidR="0012160E">
              <w:t>z</w:t>
            </w:r>
            <w:r w:rsidRPr="003961E2">
              <w:t>ánět v míst</w:t>
            </w:r>
            <w:r w:rsidR="0012160E">
              <w:t>ě</w:t>
            </w:r>
            <w:r w:rsidRPr="003961E2">
              <w:t xml:space="preserve"> vpichu</w:t>
            </w:r>
            <w:r w:rsidR="00AA2825">
              <w:rPr>
                <w:vertAlign w:val="superscript"/>
              </w:rPr>
              <w:t>5</w:t>
            </w:r>
            <w:r w:rsidRPr="003961E2">
              <w:t>.</w:t>
            </w:r>
          </w:p>
        </w:tc>
      </w:tr>
    </w:tbl>
    <w:p w14:paraId="1756DEDD" w14:textId="77777777" w:rsidR="00F4193B" w:rsidRPr="00F4193B" w:rsidRDefault="00F4193B" w:rsidP="00F4193B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F4193B">
        <w:rPr>
          <w:szCs w:val="22"/>
          <w:vertAlign w:val="superscript"/>
        </w:rPr>
        <w:t>1</w:t>
      </w:r>
      <w:r w:rsidRPr="00F4193B">
        <w:rPr>
          <w:szCs w:val="22"/>
        </w:rPr>
        <w:t xml:space="preserve"> </w:t>
      </w:r>
      <w:r w:rsidR="003C00A2" w:rsidRPr="003C00A2">
        <w:rPr>
          <w:szCs w:val="22"/>
        </w:rPr>
        <w:t>Přechodná, lze</w:t>
      </w:r>
      <w:r w:rsidRPr="00F4193B">
        <w:rPr>
          <w:szCs w:val="22"/>
        </w:rPr>
        <w:t xml:space="preserve"> pozorovat po dobu jednoho týdne.</w:t>
      </w:r>
    </w:p>
    <w:p w14:paraId="7AB082D9" w14:textId="77777777" w:rsidR="00F4193B" w:rsidRDefault="00F4193B" w:rsidP="00F4193B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F4193B">
        <w:rPr>
          <w:szCs w:val="22"/>
          <w:vertAlign w:val="superscript"/>
        </w:rPr>
        <w:t>2</w:t>
      </w:r>
      <w:r w:rsidRPr="00F4193B">
        <w:rPr>
          <w:szCs w:val="22"/>
        </w:rPr>
        <w:t xml:space="preserve"> </w:t>
      </w:r>
      <w:r w:rsidR="003C00A2" w:rsidRPr="003C00A2">
        <w:rPr>
          <w:szCs w:val="22"/>
        </w:rPr>
        <w:t xml:space="preserve">Po dobu jednoho týdne </w:t>
      </w:r>
      <w:r w:rsidRPr="00F4193B">
        <w:rPr>
          <w:szCs w:val="22"/>
        </w:rPr>
        <w:t xml:space="preserve">nebo déle po podání druhé dávky. </w:t>
      </w:r>
    </w:p>
    <w:p w14:paraId="6098B25F" w14:textId="77777777" w:rsidR="00AA2825" w:rsidRPr="00F4193B" w:rsidRDefault="00AA2825" w:rsidP="00F4193B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2D6C74">
        <w:rPr>
          <w:szCs w:val="22"/>
          <w:vertAlign w:val="superscript"/>
        </w:rPr>
        <w:t>3</w:t>
      </w:r>
      <w:r w:rsidRPr="00AA2825">
        <w:rPr>
          <w:szCs w:val="22"/>
        </w:rPr>
        <w:t xml:space="preserve"> Středně závažné.</w:t>
      </w:r>
    </w:p>
    <w:p w14:paraId="5CFFC3F2" w14:textId="77777777" w:rsidR="00F4193B" w:rsidRPr="00F4193B" w:rsidRDefault="00AA2825" w:rsidP="00F4193B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>
        <w:rPr>
          <w:szCs w:val="22"/>
          <w:vertAlign w:val="superscript"/>
        </w:rPr>
        <w:t>4</w:t>
      </w:r>
      <w:r w:rsidR="00F4193B" w:rsidRPr="00F4193B">
        <w:rPr>
          <w:szCs w:val="22"/>
        </w:rPr>
        <w:t xml:space="preserve"> </w:t>
      </w:r>
      <w:r w:rsidR="003C00A2" w:rsidRPr="003C00A2">
        <w:rPr>
          <w:szCs w:val="22"/>
        </w:rPr>
        <w:t>Přechodná, t</w:t>
      </w:r>
      <w:r w:rsidR="00F4193B" w:rsidRPr="00F4193B">
        <w:rPr>
          <w:szCs w:val="22"/>
        </w:rPr>
        <w:t>rvající až 5 dní.</w:t>
      </w:r>
    </w:p>
    <w:p w14:paraId="5B0D0828" w14:textId="77777777" w:rsidR="00F4193B" w:rsidRPr="00F4193B" w:rsidRDefault="00AA2825" w:rsidP="00F4193B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>
        <w:rPr>
          <w:szCs w:val="22"/>
          <w:vertAlign w:val="superscript"/>
        </w:rPr>
        <w:t>5</w:t>
      </w:r>
      <w:r w:rsidR="00F4193B" w:rsidRPr="00F4193B">
        <w:rPr>
          <w:szCs w:val="22"/>
        </w:rPr>
        <w:t xml:space="preserve"> Může být pozorováno až 28 dní.</w:t>
      </w:r>
    </w:p>
    <w:p w14:paraId="1DFEE04B" w14:textId="77777777" w:rsidR="00F4193B" w:rsidRPr="00F4193B" w:rsidRDefault="00F4193B" w:rsidP="00F4193B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</w:p>
    <w:p w14:paraId="1D1980E3" w14:textId="223C304D" w:rsidR="003360AB" w:rsidRPr="000B0F7D" w:rsidRDefault="00F4193B" w:rsidP="00332C09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F4193B">
        <w:rPr>
          <w:szCs w:val="22"/>
        </w:rPr>
        <w:t>Hlášení nežádoucích účinků je důležité. Umožňuje průběžné sledování bezpečnosti veterinárního léčivého přípravku. Hlášení by měla být zasílána, nejlépe prostřednictvím veterinárního lékaře, buď držiteli rozhodnutí o registraci, nebo jeho místnímu zástupci, nebo příslušnému národnímu orgánu prostřednictvím národního systému hlášení. Příslušné kontaktní údaje naleznete v příbalové informaci.</w:t>
      </w:r>
    </w:p>
    <w:p w14:paraId="47BBF873" w14:textId="77777777" w:rsidR="0076165E" w:rsidRPr="000B0F7D" w:rsidRDefault="0076165E" w:rsidP="002D6C74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1137272D" w14:textId="77777777" w:rsidR="006230BC" w:rsidRPr="00B41D57" w:rsidRDefault="006230BC" w:rsidP="006230BC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BE6A332" w14:textId="77777777" w:rsidR="0076165E" w:rsidRDefault="0076165E" w:rsidP="0076165E">
      <w:pPr>
        <w:widowControl w:val="0"/>
        <w:jc w:val="both"/>
        <w:rPr>
          <w:szCs w:val="22"/>
        </w:rPr>
      </w:pPr>
    </w:p>
    <w:p w14:paraId="2A0F7155" w14:textId="19B03F52" w:rsidR="00F4193B" w:rsidRDefault="0039313C" w:rsidP="0076165E">
      <w:pPr>
        <w:widowControl w:val="0"/>
        <w:jc w:val="both"/>
        <w:rPr>
          <w:szCs w:val="22"/>
        </w:rPr>
      </w:pPr>
      <w:r w:rsidRPr="00B41D57">
        <w:rPr>
          <w:u w:val="single"/>
        </w:rPr>
        <w:t>Březost</w:t>
      </w:r>
      <w:r w:rsidR="00F4193B" w:rsidRPr="00F4193B">
        <w:rPr>
          <w:szCs w:val="22"/>
        </w:rPr>
        <w:t xml:space="preserve">, laktace a </w:t>
      </w:r>
      <w:r w:rsidR="00C93831">
        <w:rPr>
          <w:szCs w:val="22"/>
        </w:rPr>
        <w:t>plodnost</w:t>
      </w:r>
      <w:r w:rsidR="00F4193B" w:rsidRPr="00F4193B">
        <w:rPr>
          <w:szCs w:val="22"/>
        </w:rPr>
        <w:t>:</w:t>
      </w:r>
    </w:p>
    <w:p w14:paraId="2D7B9E40" w14:textId="29319C78" w:rsidR="0076165E" w:rsidRDefault="001F409B" w:rsidP="00CA311E">
      <w:pPr>
        <w:autoSpaceDE w:val="0"/>
        <w:autoSpaceDN w:val="0"/>
        <w:adjustRightInd w:val="0"/>
        <w:ind w:left="0" w:firstLine="0"/>
        <w:jc w:val="both"/>
        <w:rPr>
          <w:snapToGrid w:val="0"/>
          <w:szCs w:val="22"/>
        </w:rPr>
      </w:pPr>
      <w:bookmarkStart w:id="0" w:name="_Hlk212198973"/>
      <w:r w:rsidRPr="001F409B">
        <w:rPr>
          <w:snapToGrid w:val="0"/>
          <w:szCs w:val="22"/>
        </w:rPr>
        <w:t>Bezpečnost použití tohoto veterinárního léčivého přípravku u skotu a prasat během březosti a laktace ani u zvířat určených k reprodukci nebyla stanovena.</w:t>
      </w:r>
      <w:r w:rsidR="00675208">
        <w:rPr>
          <w:snapToGrid w:val="0"/>
          <w:szCs w:val="22"/>
        </w:rPr>
        <w:t xml:space="preserve"> Laboratorní studie u králíků a potkanů s pomocnou látkou N-</w:t>
      </w:r>
      <w:proofErr w:type="spellStart"/>
      <w:r w:rsidR="00675208">
        <w:rPr>
          <w:snapToGrid w:val="0"/>
          <w:szCs w:val="22"/>
        </w:rPr>
        <w:t>methylpyrrolidon</w:t>
      </w:r>
      <w:proofErr w:type="spellEnd"/>
      <w:r w:rsidR="00675208">
        <w:rPr>
          <w:snapToGrid w:val="0"/>
          <w:szCs w:val="22"/>
        </w:rPr>
        <w:t xml:space="preserve"> prokázaly </w:t>
      </w:r>
      <w:proofErr w:type="spellStart"/>
      <w:r w:rsidR="005C07E3">
        <w:rPr>
          <w:snapToGrid w:val="0"/>
          <w:szCs w:val="22"/>
        </w:rPr>
        <w:t>fetotoxické</w:t>
      </w:r>
      <w:proofErr w:type="spellEnd"/>
      <w:r w:rsidR="005C07E3">
        <w:rPr>
          <w:snapToGrid w:val="0"/>
          <w:szCs w:val="22"/>
        </w:rPr>
        <w:t xml:space="preserve"> </w:t>
      </w:r>
      <w:r w:rsidR="00675208">
        <w:rPr>
          <w:snapToGrid w:val="0"/>
          <w:szCs w:val="22"/>
        </w:rPr>
        <w:t>účin</w:t>
      </w:r>
      <w:r w:rsidR="005C07E3">
        <w:rPr>
          <w:snapToGrid w:val="0"/>
          <w:szCs w:val="22"/>
        </w:rPr>
        <w:t>ky</w:t>
      </w:r>
      <w:r w:rsidR="00675208">
        <w:rPr>
          <w:snapToGrid w:val="0"/>
          <w:szCs w:val="22"/>
        </w:rPr>
        <w:t>.</w:t>
      </w:r>
    </w:p>
    <w:p w14:paraId="7A72C4F4" w14:textId="6F4C7AC3" w:rsidR="00675208" w:rsidRDefault="005C07E3" w:rsidP="0076165E">
      <w:pPr>
        <w:autoSpaceDE w:val="0"/>
        <w:autoSpaceDN w:val="0"/>
        <w:adjustRightInd w:val="0"/>
        <w:jc w:val="both"/>
        <w:rPr>
          <w:snapToGrid w:val="0"/>
          <w:szCs w:val="22"/>
        </w:rPr>
      </w:pPr>
      <w:r w:rsidRPr="005C07E3">
        <w:rPr>
          <w:snapToGrid w:val="0"/>
          <w:szCs w:val="22"/>
        </w:rPr>
        <w:t>Používat pouze na základě posouzení poměru přínosu a rizika odpovědným veterinárním lékařem</w:t>
      </w:r>
      <w:r w:rsidR="00675208">
        <w:rPr>
          <w:snapToGrid w:val="0"/>
          <w:szCs w:val="22"/>
        </w:rPr>
        <w:t>.</w:t>
      </w:r>
    </w:p>
    <w:bookmarkEnd w:id="0"/>
    <w:p w14:paraId="1FFABE54" w14:textId="77777777" w:rsidR="00675208" w:rsidRPr="000B0F7D" w:rsidRDefault="00675208" w:rsidP="0076165E">
      <w:pPr>
        <w:autoSpaceDE w:val="0"/>
        <w:autoSpaceDN w:val="0"/>
        <w:adjustRightInd w:val="0"/>
        <w:jc w:val="both"/>
        <w:rPr>
          <w:szCs w:val="22"/>
        </w:rPr>
      </w:pPr>
    </w:p>
    <w:p w14:paraId="71644F64" w14:textId="77777777" w:rsidR="006230BC" w:rsidRPr="00B41D57" w:rsidRDefault="006230BC" w:rsidP="006230BC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304695FB" w14:textId="77777777" w:rsidR="0076165E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</w:p>
    <w:p w14:paraId="1EF49255" w14:textId="33992D5F" w:rsidR="0076165E" w:rsidRPr="000B0F7D" w:rsidRDefault="005C07E3" w:rsidP="0076165E">
      <w:pPr>
        <w:autoSpaceDE w:val="0"/>
        <w:autoSpaceDN w:val="0"/>
        <w:adjustRightInd w:val="0"/>
        <w:jc w:val="both"/>
        <w:rPr>
          <w:szCs w:val="22"/>
        </w:rPr>
      </w:pPr>
      <w:r w:rsidRPr="005C07E3">
        <w:rPr>
          <w:szCs w:val="22"/>
        </w:rPr>
        <w:t>Nejsou k dispozici žádné údaje</w:t>
      </w:r>
      <w:r w:rsidR="0076165E" w:rsidRPr="000B0F7D">
        <w:rPr>
          <w:szCs w:val="22"/>
        </w:rPr>
        <w:t>.</w:t>
      </w:r>
    </w:p>
    <w:p w14:paraId="279E79AF" w14:textId="77777777" w:rsidR="0076165E" w:rsidRPr="000B0F7D" w:rsidRDefault="0076165E" w:rsidP="0076165E">
      <w:pPr>
        <w:autoSpaceDE w:val="0"/>
        <w:autoSpaceDN w:val="0"/>
        <w:adjustRightInd w:val="0"/>
        <w:rPr>
          <w:szCs w:val="22"/>
        </w:rPr>
      </w:pPr>
    </w:p>
    <w:p w14:paraId="05AEE7E6" w14:textId="77777777" w:rsidR="006230BC" w:rsidRPr="00B41D57" w:rsidRDefault="006230BC" w:rsidP="006230BC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2203144F" w14:textId="77777777" w:rsidR="0076165E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</w:p>
    <w:p w14:paraId="6B2EE58D" w14:textId="166E5A4C" w:rsidR="00FF7686" w:rsidRDefault="00FF7686" w:rsidP="0076165E">
      <w:pPr>
        <w:autoSpaceDE w:val="0"/>
        <w:autoSpaceDN w:val="0"/>
        <w:adjustRightInd w:val="0"/>
        <w:jc w:val="both"/>
        <w:rPr>
          <w:szCs w:val="22"/>
        </w:rPr>
      </w:pPr>
      <w:r w:rsidRPr="00FF7686">
        <w:rPr>
          <w:szCs w:val="22"/>
        </w:rPr>
        <w:t>Intramuskulární</w:t>
      </w:r>
      <w:r w:rsidR="00E52D83">
        <w:rPr>
          <w:szCs w:val="22"/>
        </w:rPr>
        <w:t xml:space="preserve"> podání</w:t>
      </w:r>
      <w:r w:rsidRPr="00FF7686">
        <w:rPr>
          <w:szCs w:val="22"/>
        </w:rPr>
        <w:t xml:space="preserve"> (</w:t>
      </w:r>
      <w:proofErr w:type="spellStart"/>
      <w:r w:rsidRPr="00FF7686">
        <w:rPr>
          <w:szCs w:val="22"/>
        </w:rPr>
        <w:t>i.m</w:t>
      </w:r>
      <w:proofErr w:type="spellEnd"/>
      <w:r w:rsidRPr="00FF7686">
        <w:rPr>
          <w:szCs w:val="22"/>
        </w:rPr>
        <w:t>.)</w:t>
      </w:r>
    </w:p>
    <w:p w14:paraId="01293DAD" w14:textId="6DBDAF61" w:rsidR="0076165E" w:rsidRDefault="0076165E" w:rsidP="00CA311E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7660B3">
        <w:rPr>
          <w:szCs w:val="22"/>
        </w:rPr>
        <w:t xml:space="preserve">Pro zajištění </w:t>
      </w:r>
      <w:r w:rsidR="005C07E3">
        <w:rPr>
          <w:szCs w:val="22"/>
        </w:rPr>
        <w:t>správného dávkování</w:t>
      </w:r>
      <w:r w:rsidRPr="007660B3">
        <w:rPr>
          <w:szCs w:val="22"/>
        </w:rPr>
        <w:t xml:space="preserve"> by měla být co nejpřesněji stanovena živá hmotnost</w:t>
      </w:r>
      <w:r w:rsidR="005C07E3">
        <w:rPr>
          <w:szCs w:val="22"/>
        </w:rPr>
        <w:t>.</w:t>
      </w:r>
    </w:p>
    <w:p w14:paraId="76BC2139" w14:textId="31852001" w:rsidR="005C07E3" w:rsidRDefault="005C07E3" w:rsidP="00CA311E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5C07E3">
        <w:rPr>
          <w:szCs w:val="22"/>
        </w:rPr>
        <w:t>Uzávěr lahvičky je nutné před odebráním každé dávky očistit. Používejte suchou, sterilní stříkačku a jehlu.</w:t>
      </w:r>
    </w:p>
    <w:p w14:paraId="262FB53F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>N</w:t>
      </w:r>
      <w:r w:rsidRPr="000B0F7D">
        <w:rPr>
          <w:szCs w:val="22"/>
        </w:rPr>
        <w:t xml:space="preserve">epropichujte </w:t>
      </w:r>
      <w:r>
        <w:rPr>
          <w:szCs w:val="22"/>
        </w:rPr>
        <w:t>z</w:t>
      </w:r>
      <w:r w:rsidRPr="000B0F7D">
        <w:rPr>
          <w:szCs w:val="22"/>
        </w:rPr>
        <w:t>átku více než 25krát.</w:t>
      </w:r>
    </w:p>
    <w:p w14:paraId="7B3216D8" w14:textId="77777777" w:rsidR="0076165E" w:rsidRPr="000B0F7D" w:rsidRDefault="0076165E" w:rsidP="0076165E">
      <w:pPr>
        <w:pStyle w:val="Nadpis4"/>
        <w:jc w:val="both"/>
        <w:rPr>
          <w:b w:val="0"/>
          <w:szCs w:val="22"/>
        </w:rPr>
      </w:pPr>
    </w:p>
    <w:p w14:paraId="4BA34807" w14:textId="77777777" w:rsidR="0076165E" w:rsidRPr="000B0F7D" w:rsidRDefault="0076165E" w:rsidP="00CA311E">
      <w:pPr>
        <w:ind w:left="0" w:firstLine="0"/>
        <w:rPr>
          <w:szCs w:val="22"/>
        </w:rPr>
      </w:pPr>
      <w:r w:rsidRPr="000B0F7D">
        <w:rPr>
          <w:szCs w:val="22"/>
        </w:rPr>
        <w:t>Skot: 20 mg florfenikolu/kg živé hmotnosti (1 ml přípravku/15 kg ž.</w:t>
      </w:r>
      <w:r>
        <w:rPr>
          <w:szCs w:val="22"/>
        </w:rPr>
        <w:t xml:space="preserve"> </w:t>
      </w:r>
      <w:r w:rsidRPr="000B0F7D">
        <w:rPr>
          <w:szCs w:val="22"/>
        </w:rPr>
        <w:t xml:space="preserve">hm.) se aplikuje intramuskulárně do oblasti krku dvakrát v intervalu 48 hodin. </w:t>
      </w:r>
    </w:p>
    <w:p w14:paraId="520F17D2" w14:textId="77777777" w:rsidR="0076165E" w:rsidRPr="000B0F7D" w:rsidRDefault="0076165E" w:rsidP="00CA311E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0B0F7D">
        <w:rPr>
          <w:szCs w:val="22"/>
        </w:rPr>
        <w:t>Objem aplikovaný do jednoho</w:t>
      </w:r>
      <w:r>
        <w:rPr>
          <w:szCs w:val="22"/>
        </w:rPr>
        <w:t xml:space="preserve"> místa</w:t>
      </w:r>
      <w:r w:rsidRPr="000B0F7D">
        <w:rPr>
          <w:szCs w:val="22"/>
        </w:rPr>
        <w:t xml:space="preserve"> injekčního</w:t>
      </w:r>
      <w:r>
        <w:rPr>
          <w:szCs w:val="22"/>
        </w:rPr>
        <w:t xml:space="preserve"> podání</w:t>
      </w:r>
      <w:r w:rsidRPr="000B0F7D">
        <w:rPr>
          <w:szCs w:val="22"/>
        </w:rPr>
        <w:t xml:space="preserve"> nesmí překročit 10 ml. Další injekci je nutno aplikovat do jiných míst.</w:t>
      </w:r>
    </w:p>
    <w:p w14:paraId="2811C6FB" w14:textId="77777777" w:rsidR="0076165E" w:rsidRPr="000B0F7D" w:rsidRDefault="0076165E" w:rsidP="0076165E">
      <w:pPr>
        <w:rPr>
          <w:szCs w:val="22"/>
        </w:rPr>
      </w:pPr>
    </w:p>
    <w:p w14:paraId="4D0B500B" w14:textId="77777777" w:rsidR="0076165E" w:rsidRPr="000B0F7D" w:rsidRDefault="0076165E" w:rsidP="00CA311E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0B0F7D">
        <w:rPr>
          <w:szCs w:val="22"/>
        </w:rPr>
        <w:t>Prasata: 15 mg florfenikolu/kg živé hmotnosti (1 ml přípravku/20 kg ž.hm.) se aplikuje intramuskulárn</w:t>
      </w:r>
      <w:r>
        <w:rPr>
          <w:szCs w:val="22"/>
        </w:rPr>
        <w:t>ě</w:t>
      </w:r>
      <w:r w:rsidRPr="000B0F7D">
        <w:rPr>
          <w:szCs w:val="22"/>
        </w:rPr>
        <w:t xml:space="preserve"> do oblasti krku dvakrát v intervalu 48 hodin. </w:t>
      </w:r>
    </w:p>
    <w:p w14:paraId="460A8D10" w14:textId="77777777" w:rsidR="0076165E" w:rsidRPr="000B0F7D" w:rsidRDefault="0076165E" w:rsidP="00CA311E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0B0F7D">
        <w:rPr>
          <w:szCs w:val="22"/>
        </w:rPr>
        <w:t xml:space="preserve">Objem aplikovaný do jednoho </w:t>
      </w:r>
      <w:r>
        <w:rPr>
          <w:szCs w:val="22"/>
        </w:rPr>
        <w:t xml:space="preserve">místa </w:t>
      </w:r>
      <w:r w:rsidRPr="000B0F7D">
        <w:rPr>
          <w:szCs w:val="22"/>
        </w:rPr>
        <w:t>injekčního nesmí překročit 3 ml. Další injekci je nutno aplikovat do jiných míst.</w:t>
      </w:r>
    </w:p>
    <w:p w14:paraId="1DD27B34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</w:p>
    <w:p w14:paraId="2ECD2BF2" w14:textId="77777777" w:rsidR="0076165E" w:rsidRPr="000B0F7D" w:rsidRDefault="0076165E" w:rsidP="00CA311E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0B0F7D">
        <w:rPr>
          <w:rStyle w:val="hps"/>
          <w:szCs w:val="22"/>
        </w:rPr>
        <w:t>Je doporučováno léčit</w:t>
      </w:r>
      <w:r w:rsidRPr="000B0F7D">
        <w:rPr>
          <w:szCs w:val="22"/>
        </w:rPr>
        <w:t xml:space="preserve"> </w:t>
      </w:r>
      <w:r w:rsidRPr="000B0F7D">
        <w:rPr>
          <w:rStyle w:val="hps"/>
          <w:szCs w:val="22"/>
        </w:rPr>
        <w:t>zvířata v</w:t>
      </w:r>
      <w:r w:rsidRPr="000B0F7D">
        <w:rPr>
          <w:szCs w:val="22"/>
        </w:rPr>
        <w:t xml:space="preserve"> </w:t>
      </w:r>
      <w:r w:rsidRPr="000B0F7D">
        <w:rPr>
          <w:rStyle w:val="hps"/>
          <w:szCs w:val="22"/>
        </w:rPr>
        <w:t>počátečních stádiích</w:t>
      </w:r>
      <w:r w:rsidRPr="000B0F7D">
        <w:rPr>
          <w:szCs w:val="22"/>
        </w:rPr>
        <w:t xml:space="preserve"> </w:t>
      </w:r>
      <w:r w:rsidRPr="000B0F7D">
        <w:rPr>
          <w:rStyle w:val="hps"/>
          <w:szCs w:val="22"/>
        </w:rPr>
        <w:t>onemocnění a</w:t>
      </w:r>
      <w:r w:rsidRPr="000B0F7D">
        <w:rPr>
          <w:szCs w:val="22"/>
        </w:rPr>
        <w:t xml:space="preserve"> </w:t>
      </w:r>
      <w:r w:rsidRPr="000B0F7D">
        <w:rPr>
          <w:rStyle w:val="hps"/>
          <w:szCs w:val="22"/>
        </w:rPr>
        <w:t>vyhodnotit odezvu na léčbu</w:t>
      </w:r>
      <w:r w:rsidRPr="000B0F7D">
        <w:rPr>
          <w:szCs w:val="22"/>
        </w:rPr>
        <w:t xml:space="preserve"> </w:t>
      </w:r>
      <w:r w:rsidRPr="000B0F7D">
        <w:rPr>
          <w:rStyle w:val="hps"/>
          <w:szCs w:val="22"/>
        </w:rPr>
        <w:t>do 48 hodin</w:t>
      </w:r>
      <w:r w:rsidRPr="000B0F7D">
        <w:rPr>
          <w:szCs w:val="22"/>
        </w:rPr>
        <w:t xml:space="preserve"> </w:t>
      </w:r>
      <w:r w:rsidRPr="000B0F7D">
        <w:rPr>
          <w:rStyle w:val="hps"/>
          <w:szCs w:val="22"/>
        </w:rPr>
        <w:t>po</w:t>
      </w:r>
      <w:r>
        <w:rPr>
          <w:rStyle w:val="hps"/>
          <w:szCs w:val="22"/>
        </w:rPr>
        <w:t xml:space="preserve"> podání</w:t>
      </w:r>
      <w:r w:rsidRPr="000B0F7D">
        <w:rPr>
          <w:rStyle w:val="hps"/>
          <w:szCs w:val="22"/>
        </w:rPr>
        <w:t xml:space="preserve"> druhé </w:t>
      </w:r>
      <w:r>
        <w:rPr>
          <w:rStyle w:val="hps"/>
          <w:szCs w:val="22"/>
        </w:rPr>
        <w:t>dávky</w:t>
      </w:r>
      <w:r w:rsidRPr="000B0F7D">
        <w:rPr>
          <w:szCs w:val="22"/>
        </w:rPr>
        <w:t>. Jestliže klinické příznaky respiračního onemocnění přetrvávají 48 hodin po posledním injekčním podání, mělo by dojít ke změně léčby, s použitím jiného přípravku nebo jiného antibiotika, a pokračováním až do vymizení klinických příznaků.</w:t>
      </w:r>
    </w:p>
    <w:p w14:paraId="101BA348" w14:textId="77777777" w:rsidR="0076165E" w:rsidRPr="000B0F7D" w:rsidRDefault="0076165E" w:rsidP="0076165E">
      <w:pPr>
        <w:rPr>
          <w:szCs w:val="22"/>
        </w:rPr>
      </w:pPr>
    </w:p>
    <w:p w14:paraId="0F53B5C2" w14:textId="77777777" w:rsidR="006230BC" w:rsidRPr="00B41D57" w:rsidRDefault="006230BC" w:rsidP="006230BC">
      <w:pPr>
        <w:pStyle w:val="Style1"/>
      </w:pPr>
      <w:r w:rsidRPr="00B41D57">
        <w:t>3.10</w:t>
      </w:r>
      <w:r w:rsidRPr="00B41D57">
        <w:tab/>
        <w:t>Příznaky předávkování (a kde</w:t>
      </w:r>
      <w:r>
        <w:t xml:space="preserve"> </w:t>
      </w:r>
      <w:r w:rsidRPr="00B41D57">
        <w:t>je</w:t>
      </w:r>
      <w:r>
        <w:t xml:space="preserve"> </w:t>
      </w:r>
      <w:r w:rsidRPr="005E66FC">
        <w:t xml:space="preserve">relevantní, první pomoc a antidota) </w:t>
      </w:r>
    </w:p>
    <w:p w14:paraId="19709A96" w14:textId="77777777" w:rsidR="0076165E" w:rsidRDefault="0076165E" w:rsidP="0076165E">
      <w:pPr>
        <w:pStyle w:val="Zkladntext3"/>
        <w:rPr>
          <w:rStyle w:val="hps"/>
          <w:szCs w:val="22"/>
        </w:rPr>
      </w:pPr>
    </w:p>
    <w:p w14:paraId="0FE72E6F" w14:textId="07D91428" w:rsidR="0076165E" w:rsidRPr="006230BC" w:rsidRDefault="0076165E" w:rsidP="00CA311E">
      <w:pPr>
        <w:pStyle w:val="Zkladntext3"/>
        <w:ind w:left="0" w:firstLine="0"/>
        <w:rPr>
          <w:b w:val="0"/>
          <w:bCs/>
          <w:szCs w:val="22"/>
        </w:rPr>
      </w:pPr>
      <w:r w:rsidRPr="006230BC">
        <w:rPr>
          <w:rStyle w:val="hps"/>
          <w:b w:val="0"/>
          <w:bCs/>
          <w:szCs w:val="22"/>
        </w:rPr>
        <w:t xml:space="preserve">U prasat bylo po podání trojnásobku doporučené dávky a více pozorováno snížení příjmu krmiva, </w:t>
      </w:r>
      <w:r w:rsidR="00E02375">
        <w:rPr>
          <w:rStyle w:val="hps"/>
          <w:b w:val="0"/>
          <w:bCs/>
          <w:szCs w:val="22"/>
        </w:rPr>
        <w:t xml:space="preserve">snížení </w:t>
      </w:r>
      <w:r w:rsidR="001D776F">
        <w:rPr>
          <w:rStyle w:val="hps"/>
          <w:b w:val="0"/>
          <w:bCs/>
          <w:szCs w:val="22"/>
        </w:rPr>
        <w:t>příjmu vody</w:t>
      </w:r>
      <w:r w:rsidRPr="006230BC">
        <w:rPr>
          <w:rStyle w:val="hps"/>
          <w:b w:val="0"/>
          <w:bCs/>
          <w:szCs w:val="22"/>
        </w:rPr>
        <w:t xml:space="preserve"> a snížení přírůstku hmotnosti. Při podání pětinásobku doporučené dávky a více bylo zaznamenáno zvracení.</w:t>
      </w:r>
    </w:p>
    <w:p w14:paraId="32ED05CF" w14:textId="77777777" w:rsidR="0076165E" w:rsidRDefault="0076165E" w:rsidP="0076165E">
      <w:pPr>
        <w:autoSpaceDE w:val="0"/>
        <w:autoSpaceDN w:val="0"/>
        <w:adjustRightInd w:val="0"/>
        <w:rPr>
          <w:bCs/>
          <w:szCs w:val="22"/>
        </w:rPr>
      </w:pPr>
    </w:p>
    <w:p w14:paraId="4A04937E" w14:textId="77777777" w:rsidR="006230BC" w:rsidRPr="00B41D57" w:rsidRDefault="006230BC" w:rsidP="006230BC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2C9B1294" w14:textId="77777777" w:rsidR="00FF7686" w:rsidRDefault="00FF7686" w:rsidP="0076165E">
      <w:pPr>
        <w:autoSpaceDE w:val="0"/>
        <w:autoSpaceDN w:val="0"/>
        <w:adjustRightInd w:val="0"/>
      </w:pPr>
    </w:p>
    <w:p w14:paraId="54248E62" w14:textId="77777777" w:rsidR="006230BC" w:rsidRDefault="00FF7686" w:rsidP="0076165E">
      <w:pPr>
        <w:autoSpaceDE w:val="0"/>
        <w:autoSpaceDN w:val="0"/>
        <w:adjustRightInd w:val="0"/>
        <w:rPr>
          <w:bCs/>
          <w:szCs w:val="22"/>
        </w:rPr>
      </w:pPr>
      <w:r w:rsidRPr="00B41D57">
        <w:t>Neuplatňuje se.</w:t>
      </w:r>
    </w:p>
    <w:p w14:paraId="19771E8B" w14:textId="77777777" w:rsidR="006230BC" w:rsidRPr="006230BC" w:rsidRDefault="006230BC" w:rsidP="0076165E">
      <w:pPr>
        <w:autoSpaceDE w:val="0"/>
        <w:autoSpaceDN w:val="0"/>
        <w:adjustRightInd w:val="0"/>
        <w:rPr>
          <w:bCs/>
          <w:szCs w:val="22"/>
        </w:rPr>
      </w:pPr>
    </w:p>
    <w:p w14:paraId="09DB8547" w14:textId="77777777" w:rsidR="006230BC" w:rsidRPr="00B41D57" w:rsidRDefault="006230BC" w:rsidP="006230BC">
      <w:pPr>
        <w:pStyle w:val="Style1"/>
      </w:pPr>
      <w:r w:rsidRPr="00B41D57">
        <w:t>3.12</w:t>
      </w:r>
      <w:r w:rsidRPr="00B41D57">
        <w:tab/>
        <w:t>Ochranné lhůty</w:t>
      </w:r>
    </w:p>
    <w:p w14:paraId="4594B2E9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</w:p>
    <w:p w14:paraId="74A05E5F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  <w:r w:rsidRPr="000B0F7D">
        <w:rPr>
          <w:szCs w:val="22"/>
        </w:rPr>
        <w:t>Skot:</w:t>
      </w:r>
    </w:p>
    <w:p w14:paraId="47515886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  <w:r w:rsidRPr="000B0F7D">
        <w:rPr>
          <w:szCs w:val="22"/>
        </w:rPr>
        <w:lastRenderedPageBreak/>
        <w:t>Maso: 34 dnů</w:t>
      </w:r>
    </w:p>
    <w:p w14:paraId="16BDE9D2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  <w:r w:rsidRPr="000B0F7D">
        <w:rPr>
          <w:szCs w:val="22"/>
        </w:rPr>
        <w:t>Mléko: Nepoužívat u zvířat, jejichž mléko je určeno pro lidskou spotřebu.</w:t>
      </w:r>
    </w:p>
    <w:p w14:paraId="0EBFC84D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</w:p>
    <w:p w14:paraId="6E73EF7C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  <w:r w:rsidRPr="000B0F7D">
        <w:rPr>
          <w:szCs w:val="22"/>
        </w:rPr>
        <w:t>Prasata:</w:t>
      </w:r>
    </w:p>
    <w:p w14:paraId="70B76D1E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  <w:r w:rsidRPr="000B0F7D">
        <w:rPr>
          <w:szCs w:val="22"/>
        </w:rPr>
        <w:t>Maso: 18 dnů</w:t>
      </w:r>
    </w:p>
    <w:p w14:paraId="47E20884" w14:textId="7672402E" w:rsidR="0076165E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</w:p>
    <w:p w14:paraId="18151C00" w14:textId="77777777" w:rsidR="003360AB" w:rsidRPr="000B0F7D" w:rsidRDefault="003360AB" w:rsidP="0076165E">
      <w:pPr>
        <w:autoSpaceDE w:val="0"/>
        <w:autoSpaceDN w:val="0"/>
        <w:adjustRightInd w:val="0"/>
        <w:jc w:val="both"/>
        <w:rPr>
          <w:szCs w:val="22"/>
        </w:rPr>
      </w:pPr>
    </w:p>
    <w:p w14:paraId="456D8A18" w14:textId="77777777" w:rsidR="006230BC" w:rsidRPr="00B41D57" w:rsidRDefault="006230BC" w:rsidP="006230BC">
      <w:pPr>
        <w:pStyle w:val="Style1"/>
      </w:pPr>
      <w:r w:rsidRPr="00B41D57">
        <w:t>4.</w:t>
      </w:r>
      <w:r w:rsidRPr="00B41D57">
        <w:tab/>
        <w:t>FARMAKOLOGICKÉ</w:t>
      </w:r>
      <w:r>
        <w:t xml:space="preserve"> </w:t>
      </w:r>
      <w:r w:rsidRPr="00B41D57">
        <w:t>INFORMACE</w:t>
      </w:r>
    </w:p>
    <w:p w14:paraId="165781E7" w14:textId="77777777" w:rsidR="006230BC" w:rsidRPr="006230BC" w:rsidRDefault="006230BC" w:rsidP="006230BC">
      <w:pPr>
        <w:rPr>
          <w:b/>
          <w:bCs/>
          <w:szCs w:val="22"/>
        </w:rPr>
      </w:pPr>
    </w:p>
    <w:p w14:paraId="361F43D3" w14:textId="0328FFF8" w:rsidR="0076165E" w:rsidRPr="000B0F7D" w:rsidRDefault="006230BC" w:rsidP="006230BC">
      <w:pPr>
        <w:jc w:val="both"/>
        <w:rPr>
          <w:szCs w:val="22"/>
        </w:rPr>
      </w:pPr>
      <w:r w:rsidRPr="006230BC">
        <w:rPr>
          <w:b/>
          <w:bCs/>
        </w:rPr>
        <w:t>4.1</w:t>
      </w:r>
      <w:r w:rsidRPr="006230BC">
        <w:rPr>
          <w:b/>
          <w:bCs/>
        </w:rPr>
        <w:tab/>
        <w:t>ATCvet kód</w:t>
      </w:r>
      <w:r w:rsidR="000B7ECB">
        <w:rPr>
          <w:b/>
          <w:bCs/>
        </w:rPr>
        <w:t>:</w:t>
      </w:r>
      <w:r w:rsidRPr="000B0F7D">
        <w:rPr>
          <w:szCs w:val="22"/>
        </w:rPr>
        <w:t xml:space="preserve"> </w:t>
      </w:r>
      <w:r w:rsidR="0076165E" w:rsidRPr="000B0F7D">
        <w:rPr>
          <w:szCs w:val="22"/>
        </w:rPr>
        <w:t>QJ01BA90</w:t>
      </w:r>
    </w:p>
    <w:p w14:paraId="6879C560" w14:textId="77777777" w:rsidR="0076165E" w:rsidRPr="006230BC" w:rsidRDefault="0076165E" w:rsidP="0076165E">
      <w:pPr>
        <w:autoSpaceDE w:val="0"/>
        <w:autoSpaceDN w:val="0"/>
        <w:adjustRightInd w:val="0"/>
        <w:jc w:val="both"/>
        <w:rPr>
          <w:b/>
          <w:bCs/>
          <w:szCs w:val="22"/>
        </w:rPr>
      </w:pPr>
    </w:p>
    <w:p w14:paraId="2295D7E8" w14:textId="77777777" w:rsidR="0076165E" w:rsidRPr="006230BC" w:rsidRDefault="006230BC" w:rsidP="0076165E">
      <w:pPr>
        <w:autoSpaceDE w:val="0"/>
        <w:autoSpaceDN w:val="0"/>
        <w:adjustRightInd w:val="0"/>
        <w:jc w:val="both"/>
        <w:rPr>
          <w:b/>
          <w:bCs/>
        </w:rPr>
      </w:pPr>
      <w:r w:rsidRPr="006230BC">
        <w:rPr>
          <w:b/>
          <w:bCs/>
        </w:rPr>
        <w:t>4.2</w:t>
      </w:r>
      <w:r w:rsidRPr="006230BC">
        <w:rPr>
          <w:b/>
          <w:bCs/>
        </w:rPr>
        <w:tab/>
        <w:t>Farmakodynamika</w:t>
      </w:r>
    </w:p>
    <w:p w14:paraId="6988A590" w14:textId="77777777" w:rsidR="006230BC" w:rsidRDefault="006230BC" w:rsidP="0076165E">
      <w:pPr>
        <w:autoSpaceDE w:val="0"/>
        <w:autoSpaceDN w:val="0"/>
        <w:adjustRightInd w:val="0"/>
        <w:jc w:val="both"/>
        <w:rPr>
          <w:szCs w:val="22"/>
        </w:rPr>
      </w:pPr>
    </w:p>
    <w:p w14:paraId="3A446DB0" w14:textId="77777777" w:rsidR="0076165E" w:rsidRPr="000B0F7D" w:rsidRDefault="0076165E" w:rsidP="00CA311E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0B0F7D">
        <w:rPr>
          <w:szCs w:val="22"/>
        </w:rPr>
        <w:t xml:space="preserve">Florfenikol je syntetické širokospektré antibiotikum, které působí proti většině grampozitivních a gramnegativních bakterií izolovaných z domácích zvířat. Účinek florfenikolu je založen na inhibici syntézy bílkovin na ribozomální úrovni a je bakteriostatický. </w:t>
      </w:r>
    </w:p>
    <w:p w14:paraId="6E30D3C0" w14:textId="2DE6F256" w:rsidR="0076165E" w:rsidRPr="000B0F7D" w:rsidRDefault="0076165E" w:rsidP="00CA311E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0B0F7D">
        <w:rPr>
          <w:szCs w:val="22"/>
        </w:rPr>
        <w:t xml:space="preserve">Laboratorní testy </w:t>
      </w:r>
      <w:r w:rsidRPr="000B0F7D">
        <w:rPr>
          <w:i/>
          <w:szCs w:val="22"/>
        </w:rPr>
        <w:t>in vitro</w:t>
      </w:r>
      <w:r w:rsidRPr="000B0F7D">
        <w:rPr>
          <w:szCs w:val="22"/>
        </w:rPr>
        <w:t xml:space="preserve"> však potvrdily baktericidní účinek proti většině nejčastěji izolovaných bakteriálních patogenů </w:t>
      </w:r>
      <w:r w:rsidR="009949EA">
        <w:rPr>
          <w:szCs w:val="22"/>
        </w:rPr>
        <w:t>vyvol</w:t>
      </w:r>
      <w:r w:rsidR="007F26F1">
        <w:rPr>
          <w:szCs w:val="22"/>
        </w:rPr>
        <w:t>ávajících</w:t>
      </w:r>
      <w:r w:rsidR="009949EA" w:rsidRPr="000B0F7D">
        <w:rPr>
          <w:szCs w:val="22"/>
        </w:rPr>
        <w:t xml:space="preserve"> </w:t>
      </w:r>
      <w:r w:rsidRPr="000B0F7D">
        <w:rPr>
          <w:szCs w:val="22"/>
        </w:rPr>
        <w:t xml:space="preserve">onemocnění dýchacích cest: </w:t>
      </w:r>
      <w:r w:rsidRPr="000B0F7D">
        <w:rPr>
          <w:i/>
          <w:iCs/>
          <w:szCs w:val="22"/>
        </w:rPr>
        <w:t>Mannheimia haemolytica, Pasteurella multocida, Histophilus somni</w:t>
      </w:r>
      <w:r w:rsidRPr="000B0F7D">
        <w:rPr>
          <w:iCs/>
          <w:szCs w:val="22"/>
        </w:rPr>
        <w:t xml:space="preserve"> a</w:t>
      </w:r>
      <w:r w:rsidRPr="000B0F7D">
        <w:rPr>
          <w:i/>
          <w:iCs/>
          <w:szCs w:val="22"/>
        </w:rPr>
        <w:t xml:space="preserve"> Actinobacillus pleuropneumonia</w:t>
      </w:r>
      <w:r>
        <w:rPr>
          <w:i/>
          <w:iCs/>
          <w:szCs w:val="22"/>
        </w:rPr>
        <w:t>e</w:t>
      </w:r>
      <w:r w:rsidRPr="000B0F7D">
        <w:rPr>
          <w:szCs w:val="22"/>
        </w:rPr>
        <w:t>.</w:t>
      </w:r>
    </w:p>
    <w:p w14:paraId="62384C48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</w:p>
    <w:p w14:paraId="24D356C7" w14:textId="77777777" w:rsidR="0076165E" w:rsidRPr="000B0F7D" w:rsidRDefault="0076165E" w:rsidP="00CA311E">
      <w:pPr>
        <w:ind w:left="0" w:firstLine="0"/>
        <w:rPr>
          <w:szCs w:val="22"/>
        </w:rPr>
      </w:pPr>
      <w:r w:rsidRPr="000B0F7D">
        <w:rPr>
          <w:szCs w:val="22"/>
        </w:rPr>
        <w:t xml:space="preserve">Získaná resistence </w:t>
      </w:r>
      <w:r>
        <w:rPr>
          <w:szCs w:val="22"/>
        </w:rPr>
        <w:t>k</w:t>
      </w:r>
      <w:r w:rsidRPr="000B0F7D">
        <w:rPr>
          <w:szCs w:val="22"/>
        </w:rPr>
        <w:t xml:space="preserve"> </w:t>
      </w:r>
      <w:r>
        <w:rPr>
          <w:szCs w:val="22"/>
        </w:rPr>
        <w:t>florfenikolu funguje na principu</w:t>
      </w:r>
      <w:r w:rsidRPr="000B0F7D">
        <w:rPr>
          <w:szCs w:val="22"/>
        </w:rPr>
        <w:t xml:space="preserve"> </w:t>
      </w:r>
      <w:proofErr w:type="spellStart"/>
      <w:r w:rsidRPr="000B0F7D">
        <w:rPr>
          <w:szCs w:val="22"/>
        </w:rPr>
        <w:t>efluxní</w:t>
      </w:r>
      <w:proofErr w:type="spellEnd"/>
      <w:r w:rsidRPr="000B0F7D">
        <w:rPr>
          <w:szCs w:val="22"/>
        </w:rPr>
        <w:t xml:space="preserve"> pumpy a je </w:t>
      </w:r>
      <w:r>
        <w:rPr>
          <w:szCs w:val="22"/>
        </w:rPr>
        <w:t>kódovaná genem</w:t>
      </w:r>
      <w:r w:rsidRPr="000B0F7D">
        <w:rPr>
          <w:szCs w:val="22"/>
        </w:rPr>
        <w:t xml:space="preserve"> </w:t>
      </w:r>
      <w:r w:rsidRPr="000B0F7D">
        <w:rPr>
          <w:i/>
          <w:szCs w:val="22"/>
        </w:rPr>
        <w:t>flo</w:t>
      </w:r>
      <w:r w:rsidRPr="000B0F7D">
        <w:rPr>
          <w:szCs w:val="22"/>
        </w:rPr>
        <w:t xml:space="preserve">. Může </w:t>
      </w:r>
      <w:r>
        <w:rPr>
          <w:szCs w:val="22"/>
        </w:rPr>
        <w:t>vzniknout</w:t>
      </w:r>
      <w:r w:rsidRPr="000B0F7D">
        <w:rPr>
          <w:szCs w:val="22"/>
        </w:rPr>
        <w:t xml:space="preserve"> zkřížen</w:t>
      </w:r>
      <w:r>
        <w:rPr>
          <w:szCs w:val="22"/>
        </w:rPr>
        <w:t>á</w:t>
      </w:r>
      <w:r w:rsidRPr="000B0F7D">
        <w:rPr>
          <w:szCs w:val="22"/>
        </w:rPr>
        <w:t xml:space="preserve"> rezistenc</w:t>
      </w:r>
      <w:r>
        <w:rPr>
          <w:szCs w:val="22"/>
        </w:rPr>
        <w:t>e</w:t>
      </w:r>
      <w:r w:rsidRPr="000B0F7D">
        <w:rPr>
          <w:szCs w:val="22"/>
        </w:rPr>
        <w:t xml:space="preserve"> </w:t>
      </w:r>
      <w:r>
        <w:rPr>
          <w:szCs w:val="22"/>
        </w:rPr>
        <w:t>k</w:t>
      </w:r>
      <w:r w:rsidRPr="000B0F7D">
        <w:rPr>
          <w:szCs w:val="22"/>
        </w:rPr>
        <w:t xml:space="preserve"> chloramfenikol</w:t>
      </w:r>
      <w:r>
        <w:rPr>
          <w:szCs w:val="22"/>
        </w:rPr>
        <w:t>u</w:t>
      </w:r>
      <w:r w:rsidRPr="000B0F7D">
        <w:rPr>
          <w:szCs w:val="22"/>
        </w:rPr>
        <w:t>.</w:t>
      </w:r>
    </w:p>
    <w:p w14:paraId="5AB4C3FE" w14:textId="77777777" w:rsidR="0076165E" w:rsidRPr="000B0F7D" w:rsidRDefault="0076165E" w:rsidP="0076165E">
      <w:pPr>
        <w:rPr>
          <w:szCs w:val="22"/>
        </w:rPr>
      </w:pPr>
    </w:p>
    <w:p w14:paraId="63CFCDD9" w14:textId="0FEBA2BD" w:rsidR="0076165E" w:rsidRPr="000B0F7D" w:rsidRDefault="007F26F1" w:rsidP="00CA311E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>
        <w:rPr>
          <w:szCs w:val="22"/>
        </w:rPr>
        <w:t xml:space="preserve">Níže </w:t>
      </w:r>
      <w:proofErr w:type="spellStart"/>
      <w:r>
        <w:rPr>
          <w:szCs w:val="22"/>
        </w:rPr>
        <w:t>uvedné</w:t>
      </w:r>
      <w:proofErr w:type="spellEnd"/>
      <w:r w:rsidRPr="000B0F7D">
        <w:rPr>
          <w:szCs w:val="22"/>
        </w:rPr>
        <w:t xml:space="preserve"> </w:t>
      </w:r>
      <w:r w:rsidR="0076165E" w:rsidRPr="000B0F7D">
        <w:rPr>
          <w:szCs w:val="22"/>
        </w:rPr>
        <w:t xml:space="preserve">minimální inhibiční koncentrace (MIC) byly stanoveny </w:t>
      </w:r>
      <w:r w:rsidR="0076165E">
        <w:rPr>
          <w:szCs w:val="22"/>
        </w:rPr>
        <w:t>pro florfenikol u</w:t>
      </w:r>
      <w:r w:rsidR="0076165E" w:rsidRPr="000B0F7D">
        <w:rPr>
          <w:szCs w:val="22"/>
        </w:rPr>
        <w:t xml:space="preserve"> evropských izolát</w:t>
      </w:r>
      <w:r w:rsidR="0076165E">
        <w:rPr>
          <w:szCs w:val="22"/>
        </w:rPr>
        <w:t>ů získaných ze</w:t>
      </w:r>
      <w:r w:rsidR="0076165E" w:rsidRPr="000B0F7D">
        <w:rPr>
          <w:szCs w:val="22"/>
        </w:rPr>
        <w:t xml:space="preserve"> skotu a prasat s infekcemi dýchacích cest. U florfenikolu použitého při léčbě bovinních a </w:t>
      </w:r>
      <w:r w:rsidR="0076165E">
        <w:rPr>
          <w:szCs w:val="22"/>
        </w:rPr>
        <w:t>porcinních</w:t>
      </w:r>
      <w:r w:rsidR="0076165E" w:rsidRPr="000B0F7D">
        <w:rPr>
          <w:szCs w:val="22"/>
        </w:rPr>
        <w:t xml:space="preserve"> respiračních onemocnění jsou </w:t>
      </w:r>
      <w:r w:rsidR="0076165E">
        <w:rPr>
          <w:szCs w:val="22"/>
        </w:rPr>
        <w:t>hraniční hodnoty</w:t>
      </w:r>
      <w:r w:rsidR="0076165E" w:rsidRPr="000B0F7D">
        <w:rPr>
          <w:szCs w:val="22"/>
        </w:rPr>
        <w:t xml:space="preserve"> CLSI následovné: citlivý ≤ 2 µg/ml, </w:t>
      </w:r>
      <w:r w:rsidR="0076165E">
        <w:rPr>
          <w:szCs w:val="22"/>
        </w:rPr>
        <w:t>intermediární</w:t>
      </w:r>
      <w:r w:rsidR="0076165E" w:rsidRPr="000B0F7D">
        <w:rPr>
          <w:szCs w:val="22"/>
        </w:rPr>
        <w:t xml:space="preserve"> 4 µg/ml a rezistentní ≥ 8 µg/ml.</w:t>
      </w:r>
    </w:p>
    <w:p w14:paraId="3618F139" w14:textId="77777777" w:rsidR="0076165E" w:rsidRPr="000B0F7D" w:rsidRDefault="0076165E" w:rsidP="0076165E">
      <w:pPr>
        <w:autoSpaceDE w:val="0"/>
        <w:autoSpaceDN w:val="0"/>
        <w:adjustRightInd w:val="0"/>
        <w:rPr>
          <w:szCs w:val="22"/>
        </w:rPr>
      </w:pPr>
    </w:p>
    <w:tbl>
      <w:tblPr>
        <w:tblW w:w="46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3361"/>
        <w:gridCol w:w="2299"/>
        <w:gridCol w:w="1735"/>
      </w:tblGrid>
      <w:tr w:rsidR="0076165E" w:rsidRPr="000B0F7D" w14:paraId="4069E21E" w14:textId="77777777" w:rsidTr="00DD0850">
        <w:trPr>
          <w:jc w:val="center"/>
        </w:trPr>
        <w:tc>
          <w:tcPr>
            <w:tcW w:w="715" w:type="pct"/>
            <w:shd w:val="clear" w:color="auto" w:fill="auto"/>
          </w:tcPr>
          <w:p w14:paraId="75EAE70E" w14:textId="77777777" w:rsidR="0076165E" w:rsidRPr="000B0F7D" w:rsidRDefault="0076165E" w:rsidP="00DD0850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en-GB"/>
              </w:rPr>
            </w:pPr>
            <w:proofErr w:type="spellStart"/>
            <w:r w:rsidRPr="000B0F7D">
              <w:rPr>
                <w:rFonts w:eastAsia="Calibri"/>
                <w:szCs w:val="22"/>
                <w:lang w:val="en-GB"/>
              </w:rPr>
              <w:t>Druh</w:t>
            </w:r>
            <w:proofErr w:type="spellEnd"/>
          </w:p>
        </w:tc>
        <w:tc>
          <w:tcPr>
            <w:tcW w:w="1947" w:type="pct"/>
            <w:shd w:val="clear" w:color="auto" w:fill="auto"/>
          </w:tcPr>
          <w:p w14:paraId="4FAEEBA3" w14:textId="77777777" w:rsidR="0076165E" w:rsidRPr="000B0F7D" w:rsidRDefault="0076165E" w:rsidP="00DD0850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en-GB"/>
              </w:rPr>
            </w:pPr>
            <w:proofErr w:type="spellStart"/>
            <w:r w:rsidRPr="000B0F7D">
              <w:rPr>
                <w:rFonts w:eastAsia="Calibri"/>
                <w:szCs w:val="22"/>
                <w:lang w:val="en-GB"/>
              </w:rPr>
              <w:t>Bakteriální</w:t>
            </w:r>
            <w:proofErr w:type="spellEnd"/>
            <w:r w:rsidRPr="000B0F7D">
              <w:rPr>
                <w:rFonts w:eastAsia="Calibri"/>
                <w:szCs w:val="22"/>
                <w:lang w:val="en-GB"/>
              </w:rPr>
              <w:t xml:space="preserve"> </w:t>
            </w:r>
            <w:proofErr w:type="spellStart"/>
            <w:r w:rsidRPr="000B0F7D">
              <w:rPr>
                <w:rFonts w:eastAsia="Calibri"/>
                <w:szCs w:val="22"/>
                <w:lang w:val="en-GB"/>
              </w:rPr>
              <w:t>patogen</w:t>
            </w:r>
            <w:proofErr w:type="spellEnd"/>
          </w:p>
        </w:tc>
        <w:tc>
          <w:tcPr>
            <w:tcW w:w="1332" w:type="pct"/>
            <w:shd w:val="clear" w:color="auto" w:fill="auto"/>
          </w:tcPr>
          <w:p w14:paraId="0492A742" w14:textId="77777777" w:rsidR="0076165E" w:rsidRPr="000B0F7D" w:rsidRDefault="0076165E" w:rsidP="00DD0850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en-GB"/>
              </w:rPr>
            </w:pPr>
            <w:r w:rsidRPr="000B0F7D">
              <w:rPr>
                <w:rFonts w:eastAsia="Calibri"/>
                <w:szCs w:val="22"/>
                <w:lang w:val="en-GB"/>
              </w:rPr>
              <w:t>MIC</w:t>
            </w:r>
            <w:r w:rsidRPr="000B0F7D">
              <w:rPr>
                <w:rFonts w:eastAsia="Calibri"/>
                <w:szCs w:val="22"/>
                <w:vertAlign w:val="subscript"/>
                <w:lang w:val="en-GB"/>
              </w:rPr>
              <w:t xml:space="preserve">50 </w:t>
            </w:r>
            <w:r w:rsidRPr="000B0F7D">
              <w:rPr>
                <w:rFonts w:eastAsia="Calibri"/>
                <w:szCs w:val="22"/>
                <w:lang w:val="en-GB"/>
              </w:rPr>
              <w:t>(µg/ml)</w:t>
            </w:r>
          </w:p>
        </w:tc>
        <w:tc>
          <w:tcPr>
            <w:tcW w:w="1005" w:type="pct"/>
            <w:shd w:val="clear" w:color="auto" w:fill="auto"/>
          </w:tcPr>
          <w:p w14:paraId="092736B1" w14:textId="77777777" w:rsidR="0076165E" w:rsidRPr="000B0F7D" w:rsidRDefault="0076165E" w:rsidP="00DD0850">
            <w:pPr>
              <w:autoSpaceDE w:val="0"/>
              <w:autoSpaceDN w:val="0"/>
              <w:adjustRightInd w:val="0"/>
              <w:rPr>
                <w:rFonts w:eastAsia="Calibri"/>
                <w:szCs w:val="22"/>
                <w:vertAlign w:val="subscript"/>
                <w:lang w:val="en-GB"/>
              </w:rPr>
            </w:pPr>
            <w:r w:rsidRPr="000B0F7D">
              <w:rPr>
                <w:rFonts w:eastAsia="Calibri"/>
                <w:szCs w:val="22"/>
                <w:lang w:val="en-GB"/>
              </w:rPr>
              <w:t>MIC</w:t>
            </w:r>
            <w:r w:rsidRPr="000B0F7D">
              <w:rPr>
                <w:rFonts w:eastAsia="Calibri"/>
                <w:szCs w:val="22"/>
                <w:vertAlign w:val="subscript"/>
                <w:lang w:val="en-GB"/>
              </w:rPr>
              <w:t xml:space="preserve">90 </w:t>
            </w:r>
            <w:r w:rsidRPr="000B0F7D">
              <w:rPr>
                <w:rFonts w:eastAsia="Calibri"/>
                <w:szCs w:val="22"/>
                <w:lang w:val="en-GB"/>
              </w:rPr>
              <w:t>(µg/ml)</w:t>
            </w:r>
          </w:p>
        </w:tc>
      </w:tr>
      <w:tr w:rsidR="0076165E" w:rsidRPr="000B0F7D" w14:paraId="7130ED52" w14:textId="77777777" w:rsidTr="00DD0850">
        <w:trPr>
          <w:jc w:val="center"/>
        </w:trPr>
        <w:tc>
          <w:tcPr>
            <w:tcW w:w="715" w:type="pct"/>
            <w:vMerge w:val="restart"/>
            <w:shd w:val="clear" w:color="auto" w:fill="auto"/>
          </w:tcPr>
          <w:p w14:paraId="39146D1E" w14:textId="77777777" w:rsidR="0076165E" w:rsidRPr="000B0F7D" w:rsidRDefault="0076165E" w:rsidP="00DD0850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en-GB"/>
              </w:rPr>
            </w:pPr>
            <w:r w:rsidRPr="000B0F7D">
              <w:rPr>
                <w:rFonts w:eastAsia="Calibri"/>
                <w:szCs w:val="22"/>
                <w:lang w:val="en-GB"/>
              </w:rPr>
              <w:t>Skot</w:t>
            </w:r>
          </w:p>
        </w:tc>
        <w:tc>
          <w:tcPr>
            <w:tcW w:w="1947" w:type="pct"/>
            <w:shd w:val="clear" w:color="auto" w:fill="auto"/>
          </w:tcPr>
          <w:p w14:paraId="5FAAF808" w14:textId="77777777" w:rsidR="0076165E" w:rsidRPr="000B0F7D" w:rsidRDefault="0076165E" w:rsidP="00DD0850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en-GB"/>
              </w:rPr>
            </w:pPr>
            <w:proofErr w:type="spellStart"/>
            <w:r w:rsidRPr="000B0F7D">
              <w:rPr>
                <w:rFonts w:eastAsia="Calibri"/>
                <w:i/>
                <w:iCs/>
                <w:szCs w:val="22"/>
                <w:lang w:val="en-GB"/>
              </w:rPr>
              <w:t>Mannheimia</w:t>
            </w:r>
            <w:proofErr w:type="spellEnd"/>
            <w:r w:rsidRPr="000B0F7D">
              <w:rPr>
                <w:rFonts w:eastAsia="Calibri"/>
                <w:i/>
                <w:iCs/>
                <w:szCs w:val="22"/>
                <w:lang w:val="en-GB"/>
              </w:rPr>
              <w:t xml:space="preserve"> </w:t>
            </w:r>
            <w:proofErr w:type="spellStart"/>
            <w:r w:rsidRPr="000B0F7D">
              <w:rPr>
                <w:rFonts w:eastAsia="Calibri"/>
                <w:i/>
                <w:iCs/>
                <w:szCs w:val="22"/>
                <w:lang w:val="en-GB"/>
              </w:rPr>
              <w:t>haemolytica</w:t>
            </w:r>
            <w:proofErr w:type="spellEnd"/>
          </w:p>
        </w:tc>
        <w:tc>
          <w:tcPr>
            <w:tcW w:w="1332" w:type="pct"/>
            <w:shd w:val="clear" w:color="auto" w:fill="auto"/>
          </w:tcPr>
          <w:p w14:paraId="3CFA2678" w14:textId="77777777" w:rsidR="0076165E" w:rsidRPr="000B0F7D" w:rsidRDefault="0076165E" w:rsidP="00DD0850">
            <w:pPr>
              <w:autoSpaceDE w:val="0"/>
              <w:autoSpaceDN w:val="0"/>
              <w:adjustRightInd w:val="0"/>
              <w:rPr>
                <w:rFonts w:eastAsia="Calibri"/>
                <w:szCs w:val="22"/>
                <w:vertAlign w:val="superscript"/>
                <w:lang w:val="en-GB"/>
              </w:rPr>
            </w:pPr>
            <w:r w:rsidRPr="000B0F7D">
              <w:rPr>
                <w:rFonts w:eastAsia="Calibri"/>
                <w:szCs w:val="22"/>
                <w:lang w:val="en-GB"/>
              </w:rPr>
              <w:t>0,5 - 1</w:t>
            </w:r>
          </w:p>
        </w:tc>
        <w:tc>
          <w:tcPr>
            <w:tcW w:w="1005" w:type="pct"/>
            <w:shd w:val="clear" w:color="auto" w:fill="auto"/>
          </w:tcPr>
          <w:p w14:paraId="63A2A215" w14:textId="77777777" w:rsidR="0076165E" w:rsidRPr="000B0F7D" w:rsidRDefault="0076165E" w:rsidP="00DD0850">
            <w:pPr>
              <w:autoSpaceDE w:val="0"/>
              <w:autoSpaceDN w:val="0"/>
              <w:adjustRightInd w:val="0"/>
              <w:rPr>
                <w:rFonts w:eastAsia="Calibri"/>
                <w:szCs w:val="22"/>
                <w:vertAlign w:val="superscript"/>
                <w:lang w:val="en-GB"/>
              </w:rPr>
            </w:pPr>
            <w:r w:rsidRPr="000B0F7D">
              <w:rPr>
                <w:rFonts w:eastAsia="Calibri"/>
                <w:szCs w:val="22"/>
                <w:lang w:val="en-GB"/>
              </w:rPr>
              <w:t>1</w:t>
            </w:r>
          </w:p>
        </w:tc>
      </w:tr>
      <w:tr w:rsidR="0076165E" w:rsidRPr="000B0F7D" w14:paraId="3247658D" w14:textId="77777777" w:rsidTr="00DD0850">
        <w:trPr>
          <w:jc w:val="center"/>
        </w:trPr>
        <w:tc>
          <w:tcPr>
            <w:tcW w:w="715" w:type="pct"/>
            <w:vMerge/>
            <w:shd w:val="clear" w:color="auto" w:fill="auto"/>
          </w:tcPr>
          <w:p w14:paraId="7D0D5FFE" w14:textId="77777777" w:rsidR="0076165E" w:rsidRPr="000B0F7D" w:rsidRDefault="0076165E" w:rsidP="00DD0850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en-GB"/>
              </w:rPr>
            </w:pPr>
          </w:p>
        </w:tc>
        <w:tc>
          <w:tcPr>
            <w:tcW w:w="1947" w:type="pct"/>
            <w:shd w:val="clear" w:color="auto" w:fill="auto"/>
          </w:tcPr>
          <w:p w14:paraId="05288132" w14:textId="77777777" w:rsidR="0076165E" w:rsidRPr="000B0F7D" w:rsidRDefault="0076165E" w:rsidP="00DD0850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en-GB"/>
              </w:rPr>
            </w:pPr>
            <w:r w:rsidRPr="000B0F7D">
              <w:rPr>
                <w:rFonts w:eastAsia="Calibri"/>
                <w:i/>
                <w:iCs/>
                <w:szCs w:val="22"/>
                <w:lang w:val="en-GB"/>
              </w:rPr>
              <w:t xml:space="preserve">Pasteurella </w:t>
            </w:r>
            <w:proofErr w:type="spellStart"/>
            <w:r w:rsidRPr="000B0F7D">
              <w:rPr>
                <w:rFonts w:eastAsia="Calibri"/>
                <w:i/>
                <w:iCs/>
                <w:szCs w:val="22"/>
                <w:lang w:val="en-GB"/>
              </w:rPr>
              <w:t>multocida</w:t>
            </w:r>
            <w:proofErr w:type="spellEnd"/>
          </w:p>
        </w:tc>
        <w:tc>
          <w:tcPr>
            <w:tcW w:w="1332" w:type="pct"/>
            <w:shd w:val="clear" w:color="auto" w:fill="auto"/>
          </w:tcPr>
          <w:p w14:paraId="7DF1209E" w14:textId="77777777" w:rsidR="0076165E" w:rsidRPr="000B0F7D" w:rsidRDefault="0076165E" w:rsidP="00DD0850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en-GB"/>
              </w:rPr>
            </w:pPr>
            <w:r w:rsidRPr="000B0F7D">
              <w:rPr>
                <w:rFonts w:eastAsia="Calibri"/>
                <w:szCs w:val="22"/>
                <w:lang w:val="en-GB"/>
              </w:rPr>
              <w:t>0,5</w:t>
            </w:r>
          </w:p>
        </w:tc>
        <w:tc>
          <w:tcPr>
            <w:tcW w:w="1005" w:type="pct"/>
            <w:shd w:val="clear" w:color="auto" w:fill="auto"/>
          </w:tcPr>
          <w:p w14:paraId="267D5C37" w14:textId="77777777" w:rsidR="0076165E" w:rsidRPr="000B0F7D" w:rsidRDefault="0076165E" w:rsidP="00DD0850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en-GB"/>
              </w:rPr>
            </w:pPr>
            <w:r w:rsidRPr="000B0F7D">
              <w:rPr>
                <w:rFonts w:eastAsia="Calibri"/>
                <w:szCs w:val="22"/>
                <w:lang w:val="en-GB"/>
              </w:rPr>
              <w:t>0,5 - 1</w:t>
            </w:r>
          </w:p>
        </w:tc>
      </w:tr>
      <w:tr w:rsidR="0076165E" w:rsidRPr="000B0F7D" w14:paraId="06000A1C" w14:textId="77777777" w:rsidTr="00DD0850">
        <w:trPr>
          <w:jc w:val="center"/>
        </w:trPr>
        <w:tc>
          <w:tcPr>
            <w:tcW w:w="715" w:type="pct"/>
            <w:vMerge/>
            <w:shd w:val="clear" w:color="auto" w:fill="auto"/>
          </w:tcPr>
          <w:p w14:paraId="780F9535" w14:textId="77777777" w:rsidR="0076165E" w:rsidRPr="000B0F7D" w:rsidRDefault="0076165E" w:rsidP="00DD0850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en-GB"/>
              </w:rPr>
            </w:pPr>
          </w:p>
        </w:tc>
        <w:tc>
          <w:tcPr>
            <w:tcW w:w="1947" w:type="pct"/>
            <w:shd w:val="clear" w:color="auto" w:fill="auto"/>
          </w:tcPr>
          <w:p w14:paraId="08DBFAEF" w14:textId="77777777" w:rsidR="0076165E" w:rsidRPr="000B0F7D" w:rsidRDefault="0076165E" w:rsidP="00DD0850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en-GB"/>
              </w:rPr>
            </w:pPr>
            <w:proofErr w:type="spellStart"/>
            <w:r w:rsidRPr="000B0F7D">
              <w:rPr>
                <w:rFonts w:eastAsia="Calibri"/>
                <w:i/>
                <w:iCs/>
                <w:szCs w:val="22"/>
                <w:lang w:val="en-GB"/>
              </w:rPr>
              <w:t>Histophilus</w:t>
            </w:r>
            <w:proofErr w:type="spellEnd"/>
            <w:r w:rsidRPr="000B0F7D">
              <w:rPr>
                <w:rFonts w:eastAsia="Calibri"/>
                <w:i/>
                <w:iCs/>
                <w:szCs w:val="22"/>
                <w:lang w:val="en-GB"/>
              </w:rPr>
              <w:t xml:space="preserve"> </w:t>
            </w:r>
            <w:proofErr w:type="spellStart"/>
            <w:r w:rsidRPr="000B0F7D">
              <w:rPr>
                <w:rFonts w:eastAsia="Calibri"/>
                <w:i/>
                <w:iCs/>
                <w:szCs w:val="22"/>
                <w:lang w:val="en-GB"/>
              </w:rPr>
              <w:t>somni</w:t>
            </w:r>
            <w:proofErr w:type="spellEnd"/>
          </w:p>
        </w:tc>
        <w:tc>
          <w:tcPr>
            <w:tcW w:w="1332" w:type="pct"/>
            <w:shd w:val="clear" w:color="auto" w:fill="auto"/>
          </w:tcPr>
          <w:p w14:paraId="7A364CDB" w14:textId="77777777" w:rsidR="0076165E" w:rsidRPr="000B0F7D" w:rsidRDefault="0076165E" w:rsidP="00DD0850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en-GB"/>
              </w:rPr>
            </w:pPr>
            <w:r w:rsidRPr="000B0F7D">
              <w:rPr>
                <w:rFonts w:eastAsia="Calibri"/>
                <w:szCs w:val="22"/>
                <w:lang w:val="en-GB"/>
              </w:rPr>
              <w:t>0,25</w:t>
            </w:r>
          </w:p>
        </w:tc>
        <w:tc>
          <w:tcPr>
            <w:tcW w:w="1005" w:type="pct"/>
            <w:shd w:val="clear" w:color="auto" w:fill="auto"/>
          </w:tcPr>
          <w:p w14:paraId="102F69F1" w14:textId="77777777" w:rsidR="0076165E" w:rsidRPr="000B0F7D" w:rsidRDefault="0076165E" w:rsidP="00DD0850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en-GB"/>
              </w:rPr>
            </w:pPr>
            <w:r w:rsidRPr="000B0F7D">
              <w:rPr>
                <w:rFonts w:eastAsia="Calibri"/>
                <w:szCs w:val="22"/>
                <w:lang w:val="en-GB"/>
              </w:rPr>
              <w:t>0,25</w:t>
            </w:r>
          </w:p>
        </w:tc>
      </w:tr>
      <w:tr w:rsidR="0076165E" w:rsidRPr="000B0F7D" w14:paraId="2ECFE87D" w14:textId="77777777" w:rsidTr="00DD0850">
        <w:trPr>
          <w:jc w:val="center"/>
        </w:trPr>
        <w:tc>
          <w:tcPr>
            <w:tcW w:w="715" w:type="pct"/>
            <w:vMerge w:val="restart"/>
            <w:shd w:val="clear" w:color="auto" w:fill="auto"/>
          </w:tcPr>
          <w:p w14:paraId="4A90998E" w14:textId="77777777" w:rsidR="0076165E" w:rsidRPr="000B0F7D" w:rsidRDefault="0076165E" w:rsidP="00DD085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0B0F7D">
              <w:rPr>
                <w:rFonts w:eastAsia="Calibri"/>
                <w:szCs w:val="22"/>
                <w:lang w:val="en-GB"/>
              </w:rPr>
              <w:t>Prasata</w:t>
            </w:r>
          </w:p>
        </w:tc>
        <w:tc>
          <w:tcPr>
            <w:tcW w:w="1947" w:type="pct"/>
            <w:shd w:val="clear" w:color="auto" w:fill="auto"/>
          </w:tcPr>
          <w:p w14:paraId="285FBE12" w14:textId="77777777" w:rsidR="0076165E" w:rsidRPr="000B0F7D" w:rsidRDefault="0076165E" w:rsidP="00DD0850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en-GB"/>
              </w:rPr>
            </w:pPr>
            <w:proofErr w:type="spellStart"/>
            <w:r w:rsidRPr="000B0F7D">
              <w:rPr>
                <w:rFonts w:eastAsia="Calibri"/>
                <w:i/>
                <w:iCs/>
                <w:szCs w:val="22"/>
                <w:lang w:val="en-GB"/>
              </w:rPr>
              <w:t>Actinobacillus</w:t>
            </w:r>
            <w:proofErr w:type="spellEnd"/>
            <w:r w:rsidRPr="000B0F7D">
              <w:rPr>
                <w:rFonts w:eastAsia="Calibri"/>
                <w:i/>
                <w:iCs/>
                <w:szCs w:val="22"/>
                <w:lang w:val="en-GB"/>
              </w:rPr>
              <w:t xml:space="preserve"> </w:t>
            </w:r>
            <w:proofErr w:type="spellStart"/>
            <w:r w:rsidRPr="000B0F7D">
              <w:rPr>
                <w:rFonts w:eastAsia="Calibri"/>
                <w:i/>
                <w:iCs/>
                <w:szCs w:val="22"/>
                <w:lang w:val="en-GB"/>
              </w:rPr>
              <w:t>pleuropneumonia</w:t>
            </w:r>
            <w:r>
              <w:rPr>
                <w:rFonts w:eastAsia="Calibri"/>
                <w:i/>
                <w:iCs/>
                <w:szCs w:val="22"/>
                <w:lang w:val="en-GB"/>
              </w:rPr>
              <w:t>e</w:t>
            </w:r>
            <w:proofErr w:type="spellEnd"/>
          </w:p>
        </w:tc>
        <w:tc>
          <w:tcPr>
            <w:tcW w:w="1332" w:type="pct"/>
            <w:shd w:val="clear" w:color="auto" w:fill="auto"/>
          </w:tcPr>
          <w:p w14:paraId="7C0B7813" w14:textId="77777777" w:rsidR="0076165E" w:rsidRPr="000B0F7D" w:rsidRDefault="0076165E" w:rsidP="00DD0850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en-GB"/>
              </w:rPr>
            </w:pPr>
            <w:r w:rsidRPr="000B0F7D">
              <w:rPr>
                <w:rFonts w:eastAsia="Calibri"/>
                <w:szCs w:val="22"/>
                <w:lang w:val="en-GB"/>
              </w:rPr>
              <w:t>0,25 – 0,5</w:t>
            </w:r>
          </w:p>
        </w:tc>
        <w:tc>
          <w:tcPr>
            <w:tcW w:w="1005" w:type="pct"/>
            <w:shd w:val="clear" w:color="auto" w:fill="auto"/>
          </w:tcPr>
          <w:p w14:paraId="5F0A724D" w14:textId="77777777" w:rsidR="0076165E" w:rsidRPr="000B0F7D" w:rsidRDefault="0076165E" w:rsidP="00DD0850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en-GB"/>
              </w:rPr>
            </w:pPr>
            <w:r w:rsidRPr="000B0F7D">
              <w:rPr>
                <w:rFonts w:eastAsia="Calibri"/>
                <w:szCs w:val="22"/>
                <w:lang w:val="en-GB"/>
              </w:rPr>
              <w:t>0,5</w:t>
            </w:r>
          </w:p>
        </w:tc>
      </w:tr>
      <w:tr w:rsidR="0076165E" w:rsidRPr="000B0F7D" w14:paraId="1EC09306" w14:textId="77777777" w:rsidTr="00DD0850">
        <w:trPr>
          <w:jc w:val="center"/>
        </w:trPr>
        <w:tc>
          <w:tcPr>
            <w:tcW w:w="715" w:type="pct"/>
            <w:vMerge/>
            <w:shd w:val="clear" w:color="auto" w:fill="auto"/>
          </w:tcPr>
          <w:p w14:paraId="7916C831" w14:textId="77777777" w:rsidR="0076165E" w:rsidRPr="000B0F7D" w:rsidRDefault="0076165E" w:rsidP="00DD0850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en-GB"/>
              </w:rPr>
            </w:pPr>
          </w:p>
        </w:tc>
        <w:tc>
          <w:tcPr>
            <w:tcW w:w="1947" w:type="pct"/>
            <w:shd w:val="clear" w:color="auto" w:fill="auto"/>
          </w:tcPr>
          <w:p w14:paraId="7A0AF642" w14:textId="77777777" w:rsidR="0076165E" w:rsidRPr="000B0F7D" w:rsidRDefault="0076165E" w:rsidP="00DD0850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en-GB"/>
              </w:rPr>
            </w:pPr>
            <w:r w:rsidRPr="000B0F7D">
              <w:rPr>
                <w:rFonts w:eastAsia="Calibri"/>
                <w:i/>
                <w:iCs/>
                <w:szCs w:val="22"/>
                <w:lang w:val="en-GB"/>
              </w:rPr>
              <w:t xml:space="preserve">Pasteurella </w:t>
            </w:r>
            <w:proofErr w:type="spellStart"/>
            <w:r w:rsidRPr="000B0F7D">
              <w:rPr>
                <w:rFonts w:eastAsia="Calibri"/>
                <w:i/>
                <w:iCs/>
                <w:szCs w:val="22"/>
                <w:lang w:val="en-GB"/>
              </w:rPr>
              <w:t>multocida</w:t>
            </w:r>
            <w:proofErr w:type="spellEnd"/>
            <w:r w:rsidRPr="000B0F7D" w:rsidDel="000F037D">
              <w:rPr>
                <w:rFonts w:eastAsia="Calibri"/>
                <w:i/>
                <w:iCs/>
                <w:szCs w:val="22"/>
                <w:lang w:val="en-GB"/>
              </w:rPr>
              <w:t xml:space="preserve"> </w:t>
            </w:r>
          </w:p>
        </w:tc>
        <w:tc>
          <w:tcPr>
            <w:tcW w:w="1332" w:type="pct"/>
            <w:shd w:val="clear" w:color="auto" w:fill="auto"/>
          </w:tcPr>
          <w:p w14:paraId="119648ED" w14:textId="77777777" w:rsidR="0076165E" w:rsidRPr="000B0F7D" w:rsidRDefault="0076165E" w:rsidP="00DD0850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en-GB"/>
              </w:rPr>
            </w:pPr>
            <w:r w:rsidRPr="000B0F7D">
              <w:rPr>
                <w:rFonts w:eastAsia="Calibri"/>
                <w:szCs w:val="22"/>
                <w:lang w:val="en-GB"/>
              </w:rPr>
              <w:t>0,5</w:t>
            </w:r>
          </w:p>
        </w:tc>
        <w:tc>
          <w:tcPr>
            <w:tcW w:w="1005" w:type="pct"/>
            <w:shd w:val="clear" w:color="auto" w:fill="auto"/>
          </w:tcPr>
          <w:p w14:paraId="4D7864D1" w14:textId="77777777" w:rsidR="0076165E" w:rsidRPr="000B0F7D" w:rsidRDefault="0076165E" w:rsidP="00DD0850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val="en-GB"/>
              </w:rPr>
            </w:pPr>
            <w:r w:rsidRPr="000B0F7D">
              <w:rPr>
                <w:rFonts w:eastAsia="Calibri"/>
                <w:szCs w:val="22"/>
                <w:lang w:val="en-GB"/>
              </w:rPr>
              <w:t>0,5</w:t>
            </w:r>
          </w:p>
        </w:tc>
      </w:tr>
    </w:tbl>
    <w:p w14:paraId="5CD512A3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</w:p>
    <w:p w14:paraId="7538DFA9" w14:textId="77777777" w:rsidR="0076165E" w:rsidRPr="006230BC" w:rsidRDefault="006230BC" w:rsidP="0076165E">
      <w:pPr>
        <w:jc w:val="both"/>
        <w:rPr>
          <w:b/>
          <w:bCs/>
        </w:rPr>
      </w:pPr>
      <w:r w:rsidRPr="006230BC">
        <w:rPr>
          <w:b/>
          <w:bCs/>
        </w:rPr>
        <w:t>4.3</w:t>
      </w:r>
      <w:r w:rsidRPr="006230BC">
        <w:rPr>
          <w:b/>
          <w:bCs/>
        </w:rPr>
        <w:tab/>
        <w:t>Farmakokinetika</w:t>
      </w:r>
    </w:p>
    <w:p w14:paraId="21E95E8B" w14:textId="77777777" w:rsidR="006230BC" w:rsidRPr="000B0F7D" w:rsidRDefault="006230BC" w:rsidP="0076165E">
      <w:pPr>
        <w:jc w:val="both"/>
        <w:rPr>
          <w:i/>
          <w:szCs w:val="22"/>
        </w:rPr>
      </w:pPr>
    </w:p>
    <w:p w14:paraId="10DCAFA0" w14:textId="77777777" w:rsidR="0076165E" w:rsidRPr="006D6E88" w:rsidRDefault="0076165E" w:rsidP="0076165E">
      <w:pPr>
        <w:jc w:val="both"/>
        <w:rPr>
          <w:szCs w:val="22"/>
        </w:rPr>
      </w:pPr>
      <w:r w:rsidRPr="006D6E88">
        <w:rPr>
          <w:szCs w:val="22"/>
        </w:rPr>
        <w:t>Skot:</w:t>
      </w:r>
    </w:p>
    <w:p w14:paraId="7D4A3848" w14:textId="77777777" w:rsidR="0076165E" w:rsidRPr="006D6E88" w:rsidRDefault="0076165E" w:rsidP="00CA311E">
      <w:pPr>
        <w:ind w:left="0" w:firstLine="0"/>
        <w:jc w:val="both"/>
        <w:rPr>
          <w:szCs w:val="22"/>
        </w:rPr>
      </w:pPr>
      <w:r w:rsidRPr="006D6E88">
        <w:rPr>
          <w:szCs w:val="22"/>
        </w:rPr>
        <w:t>Intramuskulární podání přípravku v doporučené dávce 20 mg/kg</w:t>
      </w:r>
      <w:r>
        <w:rPr>
          <w:szCs w:val="22"/>
        </w:rPr>
        <w:t xml:space="preserve"> ž. hm.</w:t>
      </w:r>
      <w:r w:rsidRPr="006D6E88">
        <w:rPr>
          <w:szCs w:val="22"/>
        </w:rPr>
        <w:t xml:space="preserve"> udrží účinné hladiny v krvi skotu po dobu 48 hodin. Maximální sérov</w:t>
      </w:r>
      <w:r>
        <w:rPr>
          <w:szCs w:val="22"/>
        </w:rPr>
        <w:t>é</w:t>
      </w:r>
      <w:r w:rsidRPr="006D6E88">
        <w:rPr>
          <w:szCs w:val="22"/>
        </w:rPr>
        <w:t xml:space="preserve"> </w:t>
      </w:r>
      <w:r>
        <w:rPr>
          <w:szCs w:val="22"/>
        </w:rPr>
        <w:t>hladiny</w:t>
      </w:r>
      <w:r w:rsidRPr="006D6E88">
        <w:rPr>
          <w:szCs w:val="22"/>
        </w:rPr>
        <w:t xml:space="preserve"> (C</w:t>
      </w:r>
      <w:r w:rsidRPr="006D6E88">
        <w:rPr>
          <w:szCs w:val="22"/>
          <w:vertAlign w:val="subscript"/>
        </w:rPr>
        <w:t>max</w:t>
      </w:r>
      <w:r w:rsidRPr="006D6E88">
        <w:rPr>
          <w:szCs w:val="22"/>
        </w:rPr>
        <w:t>), jež byl</w:t>
      </w:r>
      <w:r>
        <w:rPr>
          <w:szCs w:val="22"/>
        </w:rPr>
        <w:t>y</w:t>
      </w:r>
      <w:r w:rsidRPr="006D6E88">
        <w:rPr>
          <w:szCs w:val="22"/>
        </w:rPr>
        <w:t xml:space="preserve"> v průměru 4,02 µg/ml</w:t>
      </w:r>
      <w:r>
        <w:rPr>
          <w:szCs w:val="22"/>
        </w:rPr>
        <w:t>,</w:t>
      </w:r>
      <w:r w:rsidRPr="006D6E88">
        <w:rPr>
          <w:szCs w:val="22"/>
        </w:rPr>
        <w:t xml:space="preserve"> bylo dosaženo po 7,0 hodinách (T</w:t>
      </w:r>
      <w:r w:rsidRPr="006D6E88">
        <w:rPr>
          <w:szCs w:val="22"/>
          <w:vertAlign w:val="subscript"/>
        </w:rPr>
        <w:t>max</w:t>
      </w:r>
      <w:r w:rsidRPr="006D6E88">
        <w:rPr>
          <w:szCs w:val="22"/>
        </w:rPr>
        <w:t>) od podání dávky.</w:t>
      </w:r>
    </w:p>
    <w:p w14:paraId="235E13F9" w14:textId="77777777" w:rsidR="0076165E" w:rsidRPr="006D6E88" w:rsidRDefault="0076165E" w:rsidP="00CA311E">
      <w:pPr>
        <w:ind w:left="0" w:firstLine="0"/>
        <w:jc w:val="both"/>
        <w:rPr>
          <w:szCs w:val="22"/>
        </w:rPr>
      </w:pPr>
      <w:r w:rsidRPr="006D6E88">
        <w:rPr>
          <w:szCs w:val="22"/>
        </w:rPr>
        <w:t xml:space="preserve">Po 24 hodinách od podání dávky byla detekována průměrná sérová </w:t>
      </w:r>
      <w:r>
        <w:rPr>
          <w:szCs w:val="22"/>
        </w:rPr>
        <w:t xml:space="preserve">hladina </w:t>
      </w:r>
      <w:r w:rsidRPr="006D6E88">
        <w:rPr>
          <w:szCs w:val="22"/>
        </w:rPr>
        <w:t>1,5</w:t>
      </w:r>
      <w:r>
        <w:rPr>
          <w:szCs w:val="22"/>
        </w:rPr>
        <w:t>7</w:t>
      </w:r>
      <w:r w:rsidRPr="006D6E88">
        <w:rPr>
          <w:szCs w:val="22"/>
        </w:rPr>
        <w:t xml:space="preserve"> µg/ml. </w:t>
      </w:r>
      <w:r>
        <w:rPr>
          <w:szCs w:val="22"/>
        </w:rPr>
        <w:t>B</w:t>
      </w:r>
      <w:r w:rsidRPr="006D6E88">
        <w:rPr>
          <w:szCs w:val="22"/>
        </w:rPr>
        <w:t>iologický poločas byl 15,1 hodiny.</w:t>
      </w:r>
    </w:p>
    <w:p w14:paraId="6B310DFF" w14:textId="77777777" w:rsidR="0076165E" w:rsidRPr="006D6E88" w:rsidRDefault="0076165E" w:rsidP="0076165E">
      <w:pPr>
        <w:jc w:val="both"/>
        <w:rPr>
          <w:szCs w:val="22"/>
        </w:rPr>
      </w:pPr>
    </w:p>
    <w:p w14:paraId="53F2E7F8" w14:textId="77777777" w:rsidR="0076165E" w:rsidRPr="000B0F7D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  <w:r w:rsidRPr="000B0F7D">
        <w:rPr>
          <w:szCs w:val="22"/>
        </w:rPr>
        <w:t>Prasata:</w:t>
      </w:r>
    </w:p>
    <w:p w14:paraId="28BA0A82" w14:textId="77777777" w:rsidR="0076165E" w:rsidRPr="000B0F7D" w:rsidRDefault="0076165E" w:rsidP="00CA311E">
      <w:pPr>
        <w:ind w:left="0" w:firstLine="0"/>
        <w:jc w:val="both"/>
        <w:rPr>
          <w:b/>
          <w:szCs w:val="22"/>
        </w:rPr>
      </w:pPr>
      <w:r w:rsidRPr="000B0F7D">
        <w:rPr>
          <w:szCs w:val="22"/>
        </w:rPr>
        <w:t xml:space="preserve">Po intramuskulárním podání přípravku v doporučené dávce 15 mg/kg </w:t>
      </w:r>
      <w:r>
        <w:rPr>
          <w:szCs w:val="22"/>
        </w:rPr>
        <w:t xml:space="preserve">ž. hm. </w:t>
      </w:r>
      <w:r w:rsidRPr="000B0F7D">
        <w:rPr>
          <w:szCs w:val="22"/>
        </w:rPr>
        <w:t>j</w:t>
      </w:r>
      <w:r>
        <w:rPr>
          <w:szCs w:val="22"/>
        </w:rPr>
        <w:t>sou</w:t>
      </w:r>
      <w:r w:rsidRPr="000B0F7D">
        <w:rPr>
          <w:szCs w:val="22"/>
        </w:rPr>
        <w:t xml:space="preserve"> maximální </w:t>
      </w:r>
      <w:r>
        <w:rPr>
          <w:szCs w:val="22"/>
        </w:rPr>
        <w:t>hladiny</w:t>
      </w:r>
      <w:r w:rsidRPr="000B0F7D">
        <w:rPr>
          <w:szCs w:val="22"/>
        </w:rPr>
        <w:t xml:space="preserve"> v séru 2,48 µg/ml dosažen</w:t>
      </w:r>
      <w:r>
        <w:rPr>
          <w:szCs w:val="22"/>
        </w:rPr>
        <w:t>y</w:t>
      </w:r>
      <w:r w:rsidRPr="000B0F7D">
        <w:rPr>
          <w:szCs w:val="22"/>
        </w:rPr>
        <w:t xml:space="preserve"> po 2,0 hodinách a k poklesu koncentrace dochází při </w:t>
      </w:r>
      <w:r>
        <w:rPr>
          <w:szCs w:val="22"/>
        </w:rPr>
        <w:t xml:space="preserve">biologickém </w:t>
      </w:r>
      <w:r w:rsidRPr="000B0F7D">
        <w:rPr>
          <w:szCs w:val="22"/>
        </w:rPr>
        <w:t>poločasu  14,9 hodin.</w:t>
      </w:r>
    </w:p>
    <w:p w14:paraId="0431E8E8" w14:textId="77777777" w:rsidR="0076165E" w:rsidRPr="000B0F7D" w:rsidRDefault="0076165E" w:rsidP="00CA311E">
      <w:pPr>
        <w:ind w:left="0" w:firstLine="0"/>
        <w:jc w:val="both"/>
        <w:rPr>
          <w:szCs w:val="22"/>
        </w:rPr>
      </w:pPr>
      <w:r w:rsidRPr="000B0F7D">
        <w:rPr>
          <w:szCs w:val="22"/>
        </w:rPr>
        <w:t xml:space="preserve">Sérové </w:t>
      </w:r>
      <w:r>
        <w:rPr>
          <w:szCs w:val="22"/>
        </w:rPr>
        <w:t>hladiny</w:t>
      </w:r>
      <w:r w:rsidRPr="000B0F7D">
        <w:rPr>
          <w:szCs w:val="22"/>
        </w:rPr>
        <w:t xml:space="preserve"> klesají pod 1 µg/ml, MIC</w:t>
      </w:r>
      <w:r w:rsidRPr="006D6E88">
        <w:rPr>
          <w:szCs w:val="22"/>
          <w:vertAlign w:val="subscript"/>
        </w:rPr>
        <w:t>90</w:t>
      </w:r>
      <w:r w:rsidRPr="000B0F7D">
        <w:rPr>
          <w:szCs w:val="22"/>
        </w:rPr>
        <w:t xml:space="preserve"> pro cílové patogeny prasat, 12-24 hodin po </w:t>
      </w:r>
      <w:r>
        <w:rPr>
          <w:szCs w:val="22"/>
        </w:rPr>
        <w:t xml:space="preserve">intramuskulárním podání. </w:t>
      </w:r>
      <w:r w:rsidRPr="000B0F7D">
        <w:rPr>
          <w:szCs w:val="22"/>
        </w:rPr>
        <w:t xml:space="preserve">Koncentrace florfenikolu naměřené v plicní tkáni odrážejí plazmatické </w:t>
      </w:r>
      <w:r>
        <w:rPr>
          <w:szCs w:val="22"/>
        </w:rPr>
        <w:t>hladiny</w:t>
      </w:r>
      <w:r w:rsidRPr="000B0F7D">
        <w:rPr>
          <w:szCs w:val="22"/>
        </w:rPr>
        <w:t>:</w:t>
      </w:r>
      <w:r w:rsidRPr="000B0F7D">
        <w:rPr>
          <w:i/>
          <w:szCs w:val="22"/>
        </w:rPr>
        <w:t xml:space="preserve"> </w:t>
      </w:r>
      <w:r w:rsidRPr="000B0F7D">
        <w:rPr>
          <w:szCs w:val="22"/>
        </w:rPr>
        <w:t xml:space="preserve">poměr koncentrace v plicní tkáni k plazmatické </w:t>
      </w:r>
      <w:r>
        <w:rPr>
          <w:szCs w:val="22"/>
        </w:rPr>
        <w:t>hladině</w:t>
      </w:r>
      <w:r w:rsidRPr="000B0F7D">
        <w:rPr>
          <w:szCs w:val="22"/>
        </w:rPr>
        <w:t xml:space="preserve"> je přibližně 1. Po intramuskulární</w:t>
      </w:r>
      <w:r>
        <w:rPr>
          <w:szCs w:val="22"/>
        </w:rPr>
        <w:t>m</w:t>
      </w:r>
      <w:r w:rsidRPr="000B0F7D">
        <w:rPr>
          <w:szCs w:val="22"/>
        </w:rPr>
        <w:t xml:space="preserve"> </w:t>
      </w:r>
      <w:r>
        <w:rPr>
          <w:szCs w:val="22"/>
        </w:rPr>
        <w:t>podání</w:t>
      </w:r>
      <w:r w:rsidRPr="000B0F7D">
        <w:rPr>
          <w:szCs w:val="22"/>
        </w:rPr>
        <w:t xml:space="preserve"> u prasat je florfenikol rychle vylučován, a to primárně močí.</w:t>
      </w:r>
      <w:r w:rsidRPr="000B0F7D">
        <w:rPr>
          <w:i/>
          <w:szCs w:val="22"/>
        </w:rPr>
        <w:t xml:space="preserve"> </w:t>
      </w:r>
      <w:r w:rsidRPr="000B0F7D">
        <w:rPr>
          <w:szCs w:val="22"/>
        </w:rPr>
        <w:t>Florfenikol je z velké části metabolizován.</w:t>
      </w:r>
    </w:p>
    <w:p w14:paraId="09C0D14B" w14:textId="77777777" w:rsidR="0076165E" w:rsidRDefault="0076165E" w:rsidP="0076165E">
      <w:pPr>
        <w:autoSpaceDE w:val="0"/>
        <w:autoSpaceDN w:val="0"/>
        <w:adjustRightInd w:val="0"/>
        <w:jc w:val="both"/>
        <w:rPr>
          <w:szCs w:val="22"/>
        </w:rPr>
      </w:pPr>
    </w:p>
    <w:p w14:paraId="4529E8E3" w14:textId="7CDFE611" w:rsidR="00FF7686" w:rsidRDefault="00FF7686" w:rsidP="000B7ECB">
      <w:pPr>
        <w:keepNext/>
        <w:autoSpaceDE w:val="0"/>
        <w:autoSpaceDN w:val="0"/>
        <w:adjustRightInd w:val="0"/>
        <w:jc w:val="both"/>
        <w:rPr>
          <w:b/>
          <w:szCs w:val="22"/>
        </w:rPr>
      </w:pPr>
      <w:r w:rsidRPr="00B41D57">
        <w:rPr>
          <w:b/>
          <w:szCs w:val="22"/>
        </w:rPr>
        <w:lastRenderedPageBreak/>
        <w:t>Environmentální vlastnosti</w:t>
      </w:r>
    </w:p>
    <w:p w14:paraId="348A119D" w14:textId="77777777" w:rsidR="003360AB" w:rsidRDefault="003360AB" w:rsidP="000B7ECB">
      <w:pPr>
        <w:keepNext/>
        <w:autoSpaceDE w:val="0"/>
        <w:autoSpaceDN w:val="0"/>
        <w:adjustRightInd w:val="0"/>
        <w:jc w:val="both"/>
        <w:rPr>
          <w:b/>
          <w:szCs w:val="22"/>
        </w:rPr>
      </w:pPr>
    </w:p>
    <w:p w14:paraId="73D8209B" w14:textId="77777777" w:rsidR="00FF7686" w:rsidRDefault="00FF7686" w:rsidP="00FF7686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FF7686">
        <w:rPr>
          <w:szCs w:val="22"/>
        </w:rPr>
        <w:t>Použití tohoto veterinárního léčivého přípravku může představovat riziko pro suchozemské rostliny, sinice a organismy v podzemních vodách.</w:t>
      </w:r>
    </w:p>
    <w:p w14:paraId="4567D9D6" w14:textId="56F07A80" w:rsidR="00FF7686" w:rsidRDefault="00FF7686" w:rsidP="0076165E">
      <w:pPr>
        <w:autoSpaceDE w:val="0"/>
        <w:autoSpaceDN w:val="0"/>
        <w:adjustRightInd w:val="0"/>
        <w:jc w:val="both"/>
        <w:rPr>
          <w:szCs w:val="22"/>
        </w:rPr>
      </w:pPr>
    </w:p>
    <w:p w14:paraId="62985D30" w14:textId="77777777" w:rsidR="000B7ECB" w:rsidRPr="000B0F7D" w:rsidRDefault="000B7ECB" w:rsidP="0076165E">
      <w:pPr>
        <w:autoSpaceDE w:val="0"/>
        <w:autoSpaceDN w:val="0"/>
        <w:adjustRightInd w:val="0"/>
        <w:jc w:val="both"/>
        <w:rPr>
          <w:szCs w:val="22"/>
        </w:rPr>
      </w:pPr>
    </w:p>
    <w:p w14:paraId="3C1CC693" w14:textId="77777777" w:rsidR="006230BC" w:rsidRPr="00B41D57" w:rsidRDefault="006230BC" w:rsidP="006230BC">
      <w:pPr>
        <w:pStyle w:val="Style1"/>
      </w:pPr>
      <w:r w:rsidRPr="00B41D57">
        <w:t>5.</w:t>
      </w:r>
      <w:r w:rsidRPr="00B41D57">
        <w:tab/>
        <w:t>FARMACEUTICKÉ ÚDAJE</w:t>
      </w:r>
    </w:p>
    <w:p w14:paraId="36FADB75" w14:textId="77777777" w:rsidR="0076165E" w:rsidRPr="000B0F7D" w:rsidRDefault="0076165E" w:rsidP="0076165E">
      <w:pPr>
        <w:autoSpaceDE w:val="0"/>
        <w:autoSpaceDN w:val="0"/>
        <w:adjustRightInd w:val="0"/>
        <w:rPr>
          <w:b/>
          <w:szCs w:val="22"/>
        </w:rPr>
      </w:pPr>
    </w:p>
    <w:p w14:paraId="50C1DA1D" w14:textId="77777777" w:rsidR="006230BC" w:rsidRPr="00B41D57" w:rsidRDefault="006230BC" w:rsidP="006230BC">
      <w:pPr>
        <w:pStyle w:val="Style1"/>
      </w:pPr>
      <w:r w:rsidRPr="00B41D57">
        <w:t>5.1</w:t>
      </w:r>
      <w:r w:rsidRPr="00B41D57">
        <w:tab/>
        <w:t>Hlavní inkompatibility</w:t>
      </w:r>
    </w:p>
    <w:p w14:paraId="37D976BC" w14:textId="77777777" w:rsidR="0076165E" w:rsidRDefault="0076165E" w:rsidP="0076165E">
      <w:pPr>
        <w:autoSpaceDE w:val="0"/>
        <w:autoSpaceDN w:val="0"/>
        <w:adjustRightInd w:val="0"/>
        <w:rPr>
          <w:szCs w:val="22"/>
        </w:rPr>
      </w:pPr>
    </w:p>
    <w:p w14:paraId="2CACC8DD" w14:textId="77777777" w:rsidR="0076165E" w:rsidRPr="000B0F7D" w:rsidRDefault="0076165E" w:rsidP="00CA311E">
      <w:pPr>
        <w:autoSpaceDE w:val="0"/>
        <w:autoSpaceDN w:val="0"/>
        <w:adjustRightInd w:val="0"/>
        <w:ind w:left="0" w:firstLine="0"/>
        <w:rPr>
          <w:szCs w:val="22"/>
        </w:rPr>
      </w:pPr>
      <w:r w:rsidRPr="000B0F7D">
        <w:rPr>
          <w:szCs w:val="22"/>
        </w:rPr>
        <w:t>Studie kompatibility nejsou k dispozici, a proto tento veterinární léčivý přípravek nesmí být mísen s žádnými dalšími veterinárními léčivými přípravky.</w:t>
      </w:r>
    </w:p>
    <w:p w14:paraId="7BA29375" w14:textId="77777777" w:rsidR="0076165E" w:rsidRPr="000B0F7D" w:rsidRDefault="0076165E" w:rsidP="0076165E">
      <w:pPr>
        <w:autoSpaceDE w:val="0"/>
        <w:autoSpaceDN w:val="0"/>
        <w:adjustRightInd w:val="0"/>
        <w:rPr>
          <w:b/>
          <w:szCs w:val="22"/>
        </w:rPr>
      </w:pPr>
    </w:p>
    <w:p w14:paraId="26FFF328" w14:textId="77777777" w:rsidR="006230BC" w:rsidRPr="00B41D57" w:rsidRDefault="006230BC" w:rsidP="006230BC">
      <w:pPr>
        <w:pStyle w:val="Style1"/>
      </w:pPr>
      <w:r w:rsidRPr="00B41D57">
        <w:t>5.2</w:t>
      </w:r>
      <w:r w:rsidRPr="00B41D57">
        <w:tab/>
        <w:t>Doba použitelnosti</w:t>
      </w:r>
    </w:p>
    <w:p w14:paraId="441FFE8D" w14:textId="77777777" w:rsidR="0076165E" w:rsidRDefault="0076165E" w:rsidP="0076165E">
      <w:pPr>
        <w:ind w:right="-318"/>
        <w:jc w:val="both"/>
        <w:rPr>
          <w:szCs w:val="22"/>
        </w:rPr>
      </w:pPr>
    </w:p>
    <w:p w14:paraId="1A7549D5" w14:textId="77777777" w:rsidR="0076165E" w:rsidRDefault="0076165E" w:rsidP="00CA311E">
      <w:pPr>
        <w:ind w:left="0" w:right="-318" w:firstLine="0"/>
        <w:jc w:val="both"/>
        <w:rPr>
          <w:b/>
          <w:szCs w:val="22"/>
        </w:rPr>
      </w:pPr>
      <w:r w:rsidRPr="000B0F7D">
        <w:rPr>
          <w:szCs w:val="22"/>
        </w:rPr>
        <w:t>Doba použitelnosti veterinárního léčivého přípravku v neporušeném obalu</w:t>
      </w:r>
      <w:r>
        <w:rPr>
          <w:szCs w:val="22"/>
        </w:rPr>
        <w:t xml:space="preserve"> (polypropylenové injekční lahvičky)</w:t>
      </w:r>
      <w:r w:rsidRPr="000B0F7D">
        <w:rPr>
          <w:szCs w:val="22"/>
        </w:rPr>
        <w:t>:</w:t>
      </w:r>
      <w:r w:rsidRPr="000B0F7D">
        <w:rPr>
          <w:b/>
          <w:szCs w:val="22"/>
        </w:rPr>
        <w:t xml:space="preserve"> </w:t>
      </w:r>
      <w:r w:rsidRPr="000B0F7D">
        <w:rPr>
          <w:szCs w:val="22"/>
        </w:rPr>
        <w:t>2 roky</w:t>
      </w:r>
      <w:r w:rsidRPr="000B0F7D">
        <w:rPr>
          <w:b/>
          <w:szCs w:val="22"/>
        </w:rPr>
        <w:t>.</w:t>
      </w:r>
    </w:p>
    <w:p w14:paraId="209E255B" w14:textId="77777777" w:rsidR="0076165E" w:rsidRPr="000B0F7D" w:rsidRDefault="0076165E" w:rsidP="00CA311E">
      <w:pPr>
        <w:ind w:left="0" w:right="-318" w:firstLine="0"/>
        <w:jc w:val="both"/>
        <w:rPr>
          <w:szCs w:val="22"/>
        </w:rPr>
      </w:pPr>
      <w:r w:rsidRPr="000B0F7D">
        <w:rPr>
          <w:szCs w:val="22"/>
        </w:rPr>
        <w:t>Doba použitelnosti veterinárního léčivého přípravku v neporušeném obalu</w:t>
      </w:r>
      <w:r>
        <w:rPr>
          <w:szCs w:val="22"/>
        </w:rPr>
        <w:t xml:space="preserve"> (bezbarvé skleněné injekční lahvičky)</w:t>
      </w:r>
      <w:r w:rsidRPr="000B0F7D">
        <w:rPr>
          <w:szCs w:val="22"/>
        </w:rPr>
        <w:t>:</w:t>
      </w:r>
      <w:r w:rsidRPr="000B0F7D">
        <w:rPr>
          <w:b/>
          <w:szCs w:val="22"/>
        </w:rPr>
        <w:t xml:space="preserve"> </w:t>
      </w:r>
      <w:r w:rsidRPr="00272467">
        <w:rPr>
          <w:szCs w:val="22"/>
        </w:rPr>
        <w:t>3</w:t>
      </w:r>
      <w:r w:rsidRPr="000B0F7D">
        <w:rPr>
          <w:szCs w:val="22"/>
        </w:rPr>
        <w:t xml:space="preserve"> roky</w:t>
      </w:r>
      <w:r w:rsidRPr="000B0F7D">
        <w:rPr>
          <w:b/>
          <w:szCs w:val="22"/>
        </w:rPr>
        <w:t>.</w:t>
      </w:r>
    </w:p>
    <w:p w14:paraId="6E0BD7A4" w14:textId="77777777" w:rsidR="0076165E" w:rsidRPr="000B0F7D" w:rsidRDefault="0076165E" w:rsidP="0076165E">
      <w:pPr>
        <w:autoSpaceDE w:val="0"/>
        <w:autoSpaceDN w:val="0"/>
        <w:adjustRightInd w:val="0"/>
        <w:rPr>
          <w:szCs w:val="22"/>
        </w:rPr>
      </w:pPr>
      <w:r w:rsidRPr="000B0F7D">
        <w:rPr>
          <w:szCs w:val="22"/>
        </w:rPr>
        <w:t>Doba použitelnosti po prvním otevření vnitřního obalu: 28 dnů.</w:t>
      </w:r>
    </w:p>
    <w:p w14:paraId="575CA8A3" w14:textId="77777777" w:rsidR="0076165E" w:rsidRDefault="0076165E" w:rsidP="0076165E">
      <w:pPr>
        <w:autoSpaceDE w:val="0"/>
        <w:autoSpaceDN w:val="0"/>
        <w:adjustRightInd w:val="0"/>
        <w:rPr>
          <w:b/>
          <w:szCs w:val="22"/>
        </w:rPr>
      </w:pPr>
    </w:p>
    <w:p w14:paraId="575064BE" w14:textId="77777777" w:rsidR="006230BC" w:rsidRPr="00B41D57" w:rsidRDefault="006230BC" w:rsidP="006230BC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42359EC5" w14:textId="77777777" w:rsidR="0076165E" w:rsidRDefault="0076165E" w:rsidP="0076165E">
      <w:pPr>
        <w:ind w:right="-318"/>
        <w:jc w:val="both"/>
        <w:rPr>
          <w:szCs w:val="22"/>
        </w:rPr>
      </w:pPr>
    </w:p>
    <w:p w14:paraId="1E18CBED" w14:textId="77777777" w:rsidR="0076165E" w:rsidRPr="000B0F7D" w:rsidRDefault="0076165E" w:rsidP="0076165E">
      <w:pPr>
        <w:ind w:right="-318"/>
        <w:jc w:val="both"/>
        <w:rPr>
          <w:szCs w:val="22"/>
        </w:rPr>
      </w:pPr>
      <w:r w:rsidRPr="000B0F7D">
        <w:rPr>
          <w:szCs w:val="22"/>
        </w:rPr>
        <w:t>Tento veterinární léčivý přípravek nevyžaduje žádné zvláštní teplotní podmínky uchovávání.</w:t>
      </w:r>
    </w:p>
    <w:p w14:paraId="38540D34" w14:textId="77777777" w:rsidR="0076165E" w:rsidRPr="000B0F7D" w:rsidRDefault="0076165E" w:rsidP="0076165E">
      <w:pPr>
        <w:jc w:val="both"/>
        <w:rPr>
          <w:szCs w:val="22"/>
        </w:rPr>
      </w:pPr>
      <w:r w:rsidRPr="000B0F7D">
        <w:rPr>
          <w:szCs w:val="22"/>
        </w:rPr>
        <w:t>Uchovávejte injekční lahvičku v krabičce, aby byla chráněna před světlem.</w:t>
      </w:r>
    </w:p>
    <w:p w14:paraId="0B8B5005" w14:textId="77777777" w:rsidR="0076165E" w:rsidRPr="000B0F7D" w:rsidRDefault="0076165E" w:rsidP="0076165E">
      <w:pPr>
        <w:autoSpaceDE w:val="0"/>
        <w:autoSpaceDN w:val="0"/>
        <w:adjustRightInd w:val="0"/>
        <w:rPr>
          <w:b/>
          <w:szCs w:val="22"/>
        </w:rPr>
      </w:pPr>
    </w:p>
    <w:p w14:paraId="7A899845" w14:textId="77777777" w:rsidR="006230BC" w:rsidRPr="00B41D57" w:rsidRDefault="006230BC" w:rsidP="006230BC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0BA381B6" w14:textId="77777777" w:rsidR="0076165E" w:rsidRDefault="0076165E" w:rsidP="0076165E">
      <w:pPr>
        <w:jc w:val="both"/>
        <w:rPr>
          <w:szCs w:val="22"/>
        </w:rPr>
      </w:pPr>
    </w:p>
    <w:p w14:paraId="1AB3D34C" w14:textId="77777777" w:rsidR="0076165E" w:rsidRPr="000B0F7D" w:rsidRDefault="0076165E" w:rsidP="0076165E">
      <w:pPr>
        <w:jc w:val="both"/>
        <w:rPr>
          <w:szCs w:val="22"/>
        </w:rPr>
      </w:pPr>
      <w:r w:rsidRPr="000B0F7D">
        <w:rPr>
          <w:szCs w:val="22"/>
        </w:rPr>
        <w:t>Velikosti injekčních lahviček:</w:t>
      </w:r>
      <w:r w:rsidRPr="000B0F7D">
        <w:rPr>
          <w:b/>
          <w:szCs w:val="22"/>
        </w:rPr>
        <w:t xml:space="preserve"> </w:t>
      </w:r>
      <w:smartTag w:uri="urn:schemas-microsoft-com:office:smarttags" w:element="metricconverter">
        <w:smartTagPr>
          <w:attr w:name="ProductID" w:val="100 a"/>
        </w:smartTagPr>
        <w:r w:rsidRPr="000B0F7D">
          <w:rPr>
            <w:szCs w:val="22"/>
          </w:rPr>
          <w:t>100 a</w:t>
        </w:r>
      </w:smartTag>
      <w:r w:rsidRPr="000B0F7D">
        <w:rPr>
          <w:szCs w:val="22"/>
        </w:rPr>
        <w:t xml:space="preserve"> 250 ml</w:t>
      </w:r>
    </w:p>
    <w:p w14:paraId="7FBDDC94" w14:textId="77777777" w:rsidR="0076165E" w:rsidRPr="000B0F7D" w:rsidRDefault="0076165E" w:rsidP="00CA311E">
      <w:pPr>
        <w:ind w:left="0" w:firstLine="0"/>
        <w:jc w:val="both"/>
        <w:rPr>
          <w:b/>
          <w:szCs w:val="22"/>
        </w:rPr>
      </w:pPr>
      <w:r w:rsidRPr="000B0F7D">
        <w:rPr>
          <w:szCs w:val="22"/>
        </w:rPr>
        <w:t xml:space="preserve">- Injekční lahvičky z bezbarvého skla typu II uzavřené bromobutylovou </w:t>
      </w:r>
      <w:r>
        <w:rPr>
          <w:szCs w:val="22"/>
        </w:rPr>
        <w:t xml:space="preserve">gumovou </w:t>
      </w:r>
      <w:r w:rsidRPr="000B0F7D">
        <w:rPr>
          <w:szCs w:val="22"/>
        </w:rPr>
        <w:t>zátkou s hliníko</w:t>
      </w:r>
      <w:r>
        <w:rPr>
          <w:szCs w:val="22"/>
        </w:rPr>
        <w:t>vou pertlí</w:t>
      </w:r>
      <w:r w:rsidRPr="000B0F7D">
        <w:rPr>
          <w:szCs w:val="22"/>
        </w:rPr>
        <w:t>.</w:t>
      </w:r>
    </w:p>
    <w:p w14:paraId="31C40F08" w14:textId="77777777" w:rsidR="0076165E" w:rsidRPr="000B0F7D" w:rsidRDefault="0076165E" w:rsidP="0076165E">
      <w:pPr>
        <w:jc w:val="both"/>
        <w:rPr>
          <w:b/>
          <w:szCs w:val="22"/>
        </w:rPr>
      </w:pPr>
      <w:r w:rsidRPr="000B0F7D">
        <w:rPr>
          <w:szCs w:val="22"/>
        </w:rPr>
        <w:t xml:space="preserve">- Polypropylenové injekční lahvičky uzavřené bromobutylovou </w:t>
      </w:r>
      <w:r>
        <w:rPr>
          <w:szCs w:val="22"/>
        </w:rPr>
        <w:t>gumovou</w:t>
      </w:r>
      <w:r w:rsidRPr="000B0F7D">
        <w:rPr>
          <w:szCs w:val="22"/>
        </w:rPr>
        <w:t xml:space="preserve"> zátkou s hliníko</w:t>
      </w:r>
      <w:r>
        <w:rPr>
          <w:szCs w:val="22"/>
        </w:rPr>
        <w:t>vou pertlí</w:t>
      </w:r>
      <w:r w:rsidRPr="000B0F7D">
        <w:rPr>
          <w:szCs w:val="22"/>
        </w:rPr>
        <w:t>.</w:t>
      </w:r>
    </w:p>
    <w:p w14:paraId="498163B9" w14:textId="77777777" w:rsidR="0076165E" w:rsidRPr="000B0F7D" w:rsidRDefault="0076165E" w:rsidP="0076165E">
      <w:pPr>
        <w:jc w:val="both"/>
        <w:rPr>
          <w:b/>
          <w:szCs w:val="22"/>
        </w:rPr>
      </w:pPr>
    </w:p>
    <w:p w14:paraId="03DB846E" w14:textId="77777777" w:rsidR="0076165E" w:rsidRPr="000B0F7D" w:rsidRDefault="0076165E" w:rsidP="0076165E">
      <w:pPr>
        <w:jc w:val="both"/>
        <w:rPr>
          <w:szCs w:val="22"/>
        </w:rPr>
      </w:pPr>
      <w:r>
        <w:rPr>
          <w:szCs w:val="22"/>
        </w:rPr>
        <w:t>Injekční</w:t>
      </w:r>
      <w:r w:rsidRPr="000B0F7D">
        <w:rPr>
          <w:szCs w:val="22"/>
        </w:rPr>
        <w:t xml:space="preserve"> </w:t>
      </w:r>
      <w:r>
        <w:rPr>
          <w:szCs w:val="22"/>
        </w:rPr>
        <w:t>l</w:t>
      </w:r>
      <w:r w:rsidRPr="000B0F7D">
        <w:rPr>
          <w:szCs w:val="22"/>
        </w:rPr>
        <w:t>ahvičky jsou baleny samostatně v </w:t>
      </w:r>
      <w:r>
        <w:rPr>
          <w:szCs w:val="22"/>
        </w:rPr>
        <w:t>papírové</w:t>
      </w:r>
      <w:r w:rsidRPr="000B0F7D">
        <w:rPr>
          <w:szCs w:val="22"/>
        </w:rPr>
        <w:t xml:space="preserve"> krabičce.</w:t>
      </w:r>
    </w:p>
    <w:p w14:paraId="177429BC" w14:textId="77777777" w:rsidR="0076165E" w:rsidRPr="000B0F7D" w:rsidRDefault="0076165E" w:rsidP="0076165E">
      <w:pPr>
        <w:jc w:val="both"/>
        <w:rPr>
          <w:szCs w:val="22"/>
        </w:rPr>
      </w:pPr>
      <w:r w:rsidRPr="000B0F7D">
        <w:rPr>
          <w:szCs w:val="22"/>
        </w:rPr>
        <w:t xml:space="preserve">Klinické balení obsahuje šest, deset nebo dvanáct kusů. </w:t>
      </w:r>
    </w:p>
    <w:p w14:paraId="5E71C67F" w14:textId="77777777" w:rsidR="0076165E" w:rsidRPr="000B0F7D" w:rsidRDefault="0076165E" w:rsidP="0076165E">
      <w:pPr>
        <w:jc w:val="both"/>
        <w:rPr>
          <w:b/>
          <w:szCs w:val="22"/>
        </w:rPr>
      </w:pPr>
    </w:p>
    <w:p w14:paraId="4DD8CEA0" w14:textId="77777777" w:rsidR="0076165E" w:rsidRPr="000B0F7D" w:rsidRDefault="0076165E" w:rsidP="0076165E">
      <w:pPr>
        <w:jc w:val="both"/>
        <w:rPr>
          <w:szCs w:val="22"/>
        </w:rPr>
      </w:pPr>
      <w:r w:rsidRPr="000B0F7D">
        <w:rPr>
          <w:szCs w:val="22"/>
        </w:rPr>
        <w:t>Na trhu nemusí být všechny velikosti balení.</w:t>
      </w:r>
    </w:p>
    <w:p w14:paraId="117BBDD3" w14:textId="77777777" w:rsidR="0076165E" w:rsidRPr="000B0F7D" w:rsidRDefault="0076165E" w:rsidP="0076165E">
      <w:pPr>
        <w:autoSpaceDE w:val="0"/>
        <w:autoSpaceDN w:val="0"/>
        <w:adjustRightInd w:val="0"/>
        <w:rPr>
          <w:b/>
          <w:szCs w:val="22"/>
        </w:rPr>
      </w:pPr>
    </w:p>
    <w:p w14:paraId="532DF821" w14:textId="77777777" w:rsidR="006230BC" w:rsidRPr="00B41D57" w:rsidRDefault="006230BC" w:rsidP="006230BC">
      <w:pPr>
        <w:pStyle w:val="Style1"/>
      </w:pPr>
      <w:r w:rsidRPr="00B41D57">
        <w:t>5.5</w:t>
      </w:r>
      <w:r w:rsidRPr="00B41D57">
        <w:tab/>
        <w:t>Zvláštní opatření pro likvidaci nepoužit</w:t>
      </w:r>
      <w:r>
        <w:t>ých</w:t>
      </w:r>
      <w:r w:rsidRPr="00B41D57">
        <w:t xml:space="preserve"> veterinární</w:t>
      </w:r>
      <w:r>
        <w:t>ch</w:t>
      </w:r>
      <w:r w:rsidRPr="00B41D57">
        <w:t xml:space="preserve"> léčiv</w:t>
      </w:r>
      <w:r>
        <w:t>ých</w:t>
      </w:r>
      <w:r w:rsidRPr="00B41D57">
        <w:t xml:space="preserve"> přípravk</w:t>
      </w:r>
      <w:r>
        <w:t>ů</w:t>
      </w:r>
      <w:r w:rsidRPr="00B41D57">
        <w:t xml:space="preserve"> nebo odpad</w:t>
      </w:r>
      <w:r>
        <w:t>ů</w:t>
      </w:r>
      <w:r w:rsidRPr="00B41D57">
        <w:t>, kter</w:t>
      </w:r>
      <w:r>
        <w:t>é</w:t>
      </w:r>
      <w:r w:rsidRPr="00B41D57">
        <w:t xml:space="preserve"> pochází z</w:t>
      </w:r>
      <w:r>
        <w:t> </w:t>
      </w:r>
      <w:r w:rsidRPr="00B41D57">
        <w:t>t</w:t>
      </w:r>
      <w:r>
        <w:t xml:space="preserve">ěchto </w:t>
      </w:r>
      <w:r w:rsidRPr="00B41D57">
        <w:t>přípravk</w:t>
      </w:r>
      <w:r>
        <w:t>ů</w:t>
      </w:r>
    </w:p>
    <w:p w14:paraId="2594F7D6" w14:textId="77777777" w:rsidR="002106AB" w:rsidRDefault="002106AB" w:rsidP="0076165E">
      <w:pPr>
        <w:pStyle w:val="Zkladntext"/>
        <w:rPr>
          <w:b/>
          <w:bCs/>
          <w:szCs w:val="22"/>
        </w:rPr>
      </w:pPr>
    </w:p>
    <w:p w14:paraId="668B6322" w14:textId="0A3BDF5F" w:rsidR="00FF7686" w:rsidRDefault="00FF7686" w:rsidP="00FF7686">
      <w:r w:rsidRPr="00B41D57">
        <w:t>Léčivé přípravky se nesmí likvidovat prostřednictvím odpadní vody či domovního odpadu.</w:t>
      </w:r>
    </w:p>
    <w:p w14:paraId="35F4E653" w14:textId="77777777" w:rsidR="000B7ECB" w:rsidRPr="00B41D57" w:rsidRDefault="000B7ECB" w:rsidP="00FF7686">
      <w:pPr>
        <w:rPr>
          <w:szCs w:val="22"/>
        </w:rPr>
      </w:pPr>
    </w:p>
    <w:p w14:paraId="64CD3A4C" w14:textId="3354BB40" w:rsidR="0076165E" w:rsidRDefault="00FF7686" w:rsidP="00FF7686">
      <w:pPr>
        <w:pStyle w:val="Zkladntext"/>
        <w:ind w:left="0" w:firstLine="0"/>
        <w:rPr>
          <w:bCs/>
          <w:szCs w:val="22"/>
        </w:rPr>
      </w:pPr>
      <w:r w:rsidRPr="00B41D57">
        <w:t xml:space="preserve">Tento veterinární léčivý přípravek nesmí kontaminovat vodní toky, protože </w:t>
      </w:r>
      <w:r>
        <w:t>florfenikol</w:t>
      </w:r>
      <w:r w:rsidRPr="00B41D57">
        <w:t xml:space="preserve"> může</w:t>
      </w:r>
      <w:r w:rsidR="000B7ECB">
        <w:t xml:space="preserve"> </w:t>
      </w:r>
      <w:r w:rsidRPr="00B41D57">
        <w:t>být nebezpečný</w:t>
      </w:r>
      <w:r w:rsidR="000B7ECB">
        <w:t xml:space="preserve"> </w:t>
      </w:r>
      <w:r w:rsidRPr="00B41D57">
        <w:t>pro ryby a další vodní organismy.</w:t>
      </w:r>
    </w:p>
    <w:p w14:paraId="7C41F12F" w14:textId="77777777" w:rsidR="0076165E" w:rsidRDefault="0076165E" w:rsidP="0076165E">
      <w:pPr>
        <w:jc w:val="both"/>
        <w:rPr>
          <w:b/>
          <w:szCs w:val="22"/>
        </w:rPr>
      </w:pPr>
    </w:p>
    <w:p w14:paraId="08CEA445" w14:textId="77777777" w:rsidR="00FF7686" w:rsidRPr="00B41D57" w:rsidRDefault="00FF7686" w:rsidP="0082273A">
      <w:pPr>
        <w:ind w:left="0" w:firstLine="0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7A8098D8" w14:textId="38F33A92" w:rsidR="00FF7686" w:rsidRDefault="00FF7686" w:rsidP="0076165E">
      <w:pPr>
        <w:jc w:val="both"/>
        <w:rPr>
          <w:b/>
          <w:szCs w:val="22"/>
        </w:rPr>
      </w:pPr>
    </w:p>
    <w:p w14:paraId="661AB38D" w14:textId="77777777" w:rsidR="003360AB" w:rsidRPr="000B0F7D" w:rsidRDefault="003360AB" w:rsidP="0076165E">
      <w:pPr>
        <w:jc w:val="both"/>
        <w:rPr>
          <w:b/>
          <w:szCs w:val="22"/>
        </w:rPr>
      </w:pPr>
    </w:p>
    <w:p w14:paraId="327495FF" w14:textId="77777777" w:rsidR="006230BC" w:rsidRPr="00B41D57" w:rsidRDefault="006230BC" w:rsidP="006230BC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3DAB3778" w14:textId="77777777" w:rsidR="0076165E" w:rsidRDefault="0076165E" w:rsidP="0076165E">
      <w:pPr>
        <w:autoSpaceDE w:val="0"/>
        <w:autoSpaceDN w:val="0"/>
        <w:adjustRightInd w:val="0"/>
        <w:rPr>
          <w:szCs w:val="22"/>
        </w:rPr>
      </w:pPr>
    </w:p>
    <w:p w14:paraId="4885F6B1" w14:textId="69B99717" w:rsidR="0076165E" w:rsidRPr="000B0F7D" w:rsidRDefault="00FF7686" w:rsidP="0076165E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Kela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nv</w:t>
      </w:r>
      <w:proofErr w:type="spellEnd"/>
    </w:p>
    <w:p w14:paraId="5655AD5B" w14:textId="29671120" w:rsidR="0076165E" w:rsidRDefault="0076165E" w:rsidP="0076165E">
      <w:pPr>
        <w:autoSpaceDE w:val="0"/>
        <w:autoSpaceDN w:val="0"/>
        <w:adjustRightInd w:val="0"/>
        <w:rPr>
          <w:szCs w:val="22"/>
        </w:rPr>
      </w:pPr>
    </w:p>
    <w:p w14:paraId="7208B77D" w14:textId="77777777" w:rsidR="003360AB" w:rsidRPr="000B0F7D" w:rsidRDefault="003360AB" w:rsidP="0076165E">
      <w:pPr>
        <w:autoSpaceDE w:val="0"/>
        <w:autoSpaceDN w:val="0"/>
        <w:adjustRightInd w:val="0"/>
        <w:rPr>
          <w:szCs w:val="22"/>
        </w:rPr>
      </w:pPr>
    </w:p>
    <w:p w14:paraId="2FE859B8" w14:textId="77777777" w:rsidR="006230BC" w:rsidRPr="00B41D57" w:rsidRDefault="006230BC" w:rsidP="006230BC">
      <w:pPr>
        <w:pStyle w:val="Style1"/>
      </w:pPr>
      <w:r w:rsidRPr="00B41D57">
        <w:lastRenderedPageBreak/>
        <w:t>7.</w:t>
      </w:r>
      <w:r w:rsidRPr="00B41D57">
        <w:tab/>
        <w:t>REGISTRAČNÍ ČÍSLO(A)</w:t>
      </w:r>
    </w:p>
    <w:p w14:paraId="7FC6C3A1" w14:textId="77777777" w:rsidR="0076165E" w:rsidRDefault="0076165E" w:rsidP="0076165E">
      <w:pPr>
        <w:autoSpaceDE w:val="0"/>
        <w:autoSpaceDN w:val="0"/>
        <w:adjustRightInd w:val="0"/>
        <w:rPr>
          <w:szCs w:val="22"/>
        </w:rPr>
      </w:pPr>
    </w:p>
    <w:p w14:paraId="074BE4E3" w14:textId="77777777" w:rsidR="0076165E" w:rsidRPr="000B0F7D" w:rsidRDefault="0076165E" w:rsidP="0076165E">
      <w:pPr>
        <w:autoSpaceDE w:val="0"/>
        <w:autoSpaceDN w:val="0"/>
        <w:adjustRightInd w:val="0"/>
        <w:rPr>
          <w:szCs w:val="22"/>
        </w:rPr>
      </w:pPr>
      <w:r w:rsidRPr="000B0F7D">
        <w:rPr>
          <w:szCs w:val="22"/>
        </w:rPr>
        <w:t>96/032/12-C</w:t>
      </w:r>
    </w:p>
    <w:p w14:paraId="05989370" w14:textId="53741F75" w:rsidR="0076165E" w:rsidRDefault="0076165E" w:rsidP="0076165E">
      <w:pPr>
        <w:autoSpaceDE w:val="0"/>
        <w:autoSpaceDN w:val="0"/>
        <w:adjustRightInd w:val="0"/>
        <w:rPr>
          <w:szCs w:val="22"/>
        </w:rPr>
      </w:pPr>
    </w:p>
    <w:p w14:paraId="28E7BED2" w14:textId="77777777" w:rsidR="003360AB" w:rsidRPr="000B0F7D" w:rsidRDefault="003360AB" w:rsidP="0076165E">
      <w:pPr>
        <w:autoSpaceDE w:val="0"/>
        <w:autoSpaceDN w:val="0"/>
        <w:adjustRightInd w:val="0"/>
        <w:rPr>
          <w:szCs w:val="22"/>
        </w:rPr>
      </w:pPr>
    </w:p>
    <w:p w14:paraId="495CE14A" w14:textId="77777777" w:rsidR="006230BC" w:rsidRPr="00B41D57" w:rsidRDefault="006230BC" w:rsidP="006230BC">
      <w:pPr>
        <w:pStyle w:val="Style1"/>
      </w:pPr>
      <w:r w:rsidRPr="00B41D57">
        <w:t>8.</w:t>
      </w:r>
      <w:r w:rsidRPr="00B41D57">
        <w:tab/>
        <w:t>DATUM PRVNÍ REGISTRACE</w:t>
      </w:r>
    </w:p>
    <w:p w14:paraId="0B3BB72B" w14:textId="77777777" w:rsidR="0076165E" w:rsidRPr="006230BC" w:rsidRDefault="0076165E" w:rsidP="0076165E">
      <w:pPr>
        <w:autoSpaceDE w:val="0"/>
        <w:autoSpaceDN w:val="0"/>
        <w:adjustRightInd w:val="0"/>
        <w:rPr>
          <w:szCs w:val="22"/>
        </w:rPr>
      </w:pPr>
    </w:p>
    <w:p w14:paraId="0CEE9396" w14:textId="77777777" w:rsidR="0076165E" w:rsidRPr="000B0F7D" w:rsidRDefault="0076165E" w:rsidP="0076165E">
      <w:pPr>
        <w:autoSpaceDE w:val="0"/>
        <w:autoSpaceDN w:val="0"/>
        <w:adjustRightInd w:val="0"/>
        <w:rPr>
          <w:szCs w:val="22"/>
        </w:rPr>
      </w:pPr>
      <w:r w:rsidRPr="000B0F7D">
        <w:rPr>
          <w:szCs w:val="22"/>
        </w:rPr>
        <w:t>6. 3. 2012</w:t>
      </w:r>
    </w:p>
    <w:p w14:paraId="37A0A65A" w14:textId="5D9046AB" w:rsidR="0076165E" w:rsidRDefault="0076165E" w:rsidP="0076165E">
      <w:pPr>
        <w:autoSpaceDE w:val="0"/>
        <w:autoSpaceDN w:val="0"/>
        <w:adjustRightInd w:val="0"/>
        <w:rPr>
          <w:szCs w:val="22"/>
        </w:rPr>
      </w:pPr>
    </w:p>
    <w:p w14:paraId="02F3F9CC" w14:textId="77777777" w:rsidR="003360AB" w:rsidRPr="000B0F7D" w:rsidRDefault="003360AB" w:rsidP="0076165E">
      <w:pPr>
        <w:autoSpaceDE w:val="0"/>
        <w:autoSpaceDN w:val="0"/>
        <w:adjustRightInd w:val="0"/>
        <w:rPr>
          <w:szCs w:val="22"/>
        </w:rPr>
      </w:pPr>
    </w:p>
    <w:p w14:paraId="291AA1C4" w14:textId="77777777" w:rsidR="006230BC" w:rsidRPr="00B41D57" w:rsidRDefault="006230BC" w:rsidP="006230BC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7DBC9239" w14:textId="5ED15DED" w:rsidR="0076165E" w:rsidRDefault="0076165E" w:rsidP="0076165E">
      <w:pPr>
        <w:ind w:right="-318"/>
        <w:rPr>
          <w:szCs w:val="22"/>
        </w:rPr>
      </w:pPr>
    </w:p>
    <w:p w14:paraId="210D2D75" w14:textId="59C5D9A4" w:rsidR="004F268B" w:rsidRDefault="001B6F36" w:rsidP="0076165E">
      <w:pPr>
        <w:ind w:right="-318"/>
        <w:rPr>
          <w:szCs w:val="22"/>
        </w:rPr>
      </w:pPr>
      <w:r>
        <w:rPr>
          <w:szCs w:val="22"/>
        </w:rPr>
        <w:t>01/2026</w:t>
      </w:r>
    </w:p>
    <w:p w14:paraId="0320E2C7" w14:textId="77777777" w:rsidR="0076165E" w:rsidRPr="000B0F7D" w:rsidRDefault="0076165E" w:rsidP="0076165E">
      <w:pPr>
        <w:ind w:right="-318"/>
        <w:rPr>
          <w:b/>
          <w:szCs w:val="22"/>
        </w:rPr>
      </w:pPr>
    </w:p>
    <w:p w14:paraId="1FA8A0E5" w14:textId="77777777" w:rsidR="006230BC" w:rsidRPr="00B41D57" w:rsidRDefault="006230BC" w:rsidP="006230BC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2331384E" w14:textId="77777777" w:rsidR="0076165E" w:rsidRDefault="0076165E" w:rsidP="0076165E">
      <w:pPr>
        <w:rPr>
          <w:szCs w:val="22"/>
        </w:rPr>
      </w:pPr>
    </w:p>
    <w:p w14:paraId="3249BAEA" w14:textId="77777777" w:rsidR="0076165E" w:rsidRDefault="0076165E" w:rsidP="0076165E">
      <w:pPr>
        <w:rPr>
          <w:bCs/>
        </w:rPr>
      </w:pPr>
      <w:r w:rsidRPr="00AD5521">
        <w:rPr>
          <w:szCs w:val="22"/>
        </w:rPr>
        <w:t>Veterinární léčivý přípravek je vydáván pouze na předpis.</w:t>
      </w:r>
    </w:p>
    <w:p w14:paraId="51946DC9" w14:textId="77777777" w:rsidR="0076165E" w:rsidRDefault="0076165E" w:rsidP="0076165E"/>
    <w:p w14:paraId="46449C80" w14:textId="6BD47A98" w:rsidR="0082273A" w:rsidRDefault="0082273A" w:rsidP="0082273A">
      <w:pPr>
        <w:ind w:left="0" w:right="-1" w:firstLine="0"/>
        <w:rPr>
          <w:i/>
          <w:szCs w:val="22"/>
        </w:rPr>
      </w:pPr>
      <w:bookmarkStart w:id="1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51701839" w14:textId="53D25E2B" w:rsidR="004F268B" w:rsidRDefault="004F268B" w:rsidP="0082273A">
      <w:pPr>
        <w:ind w:left="0" w:right="-1" w:firstLine="0"/>
        <w:rPr>
          <w:szCs w:val="22"/>
        </w:rPr>
      </w:pPr>
    </w:p>
    <w:p w14:paraId="7A6A14CC" w14:textId="0E36C704" w:rsidR="001B6F36" w:rsidRDefault="004F268B" w:rsidP="004F268B">
      <w:pPr>
        <w:ind w:left="0" w:right="-1" w:firstLine="0"/>
        <w:rPr>
          <w:szCs w:val="22"/>
        </w:rPr>
      </w:pPr>
      <w:r w:rsidRPr="004F268B">
        <w:rPr>
          <w:szCs w:val="22"/>
        </w:rPr>
        <w:t>Podrobné informace o tomto veterinárním léčivém přípravku naleznete také v národní databázi (</w:t>
      </w:r>
      <w:hyperlink r:id="rId9" w:history="1">
        <w:r w:rsidR="001B6F36" w:rsidRPr="006C04FB">
          <w:rPr>
            <w:rStyle w:val="Hypertextovodkaz"/>
            <w:szCs w:val="22"/>
          </w:rPr>
          <w:t>https://www.uskvbl.cz</w:t>
        </w:r>
      </w:hyperlink>
      <w:r w:rsidR="001B6F36">
        <w:rPr>
          <w:szCs w:val="22"/>
        </w:rPr>
        <w:t>).</w:t>
      </w:r>
      <w:bookmarkStart w:id="2" w:name="_GoBack"/>
      <w:bookmarkEnd w:id="2"/>
    </w:p>
    <w:p w14:paraId="632135A5" w14:textId="6CCDB2B7" w:rsidR="004F268B" w:rsidRPr="004F268B" w:rsidRDefault="004F268B" w:rsidP="004F268B">
      <w:pPr>
        <w:ind w:left="0" w:right="-1" w:firstLine="0"/>
        <w:rPr>
          <w:szCs w:val="22"/>
        </w:rPr>
      </w:pPr>
    </w:p>
    <w:p w14:paraId="487376DB" w14:textId="77777777" w:rsidR="004F268B" w:rsidRPr="00B41D57" w:rsidRDefault="004F268B" w:rsidP="0082273A">
      <w:pPr>
        <w:ind w:left="0" w:right="-1" w:firstLine="0"/>
        <w:rPr>
          <w:szCs w:val="22"/>
        </w:rPr>
      </w:pPr>
    </w:p>
    <w:bookmarkEnd w:id="1"/>
    <w:p w14:paraId="5134A43B" w14:textId="77777777" w:rsidR="008C6ED9" w:rsidRPr="0076165E" w:rsidRDefault="008C6ED9" w:rsidP="0082273A"/>
    <w:sectPr w:rsidR="008C6ED9" w:rsidRPr="0076165E" w:rsidSect="008C6ED9">
      <w:footerReference w:type="default" r:id="rId10"/>
      <w:footerReference w:type="first" r:id="rId11"/>
      <w:endnotePr>
        <w:numFmt w:val="decimal"/>
      </w:endnotePr>
      <w:pgSz w:w="11918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432BC" w14:textId="77777777" w:rsidR="0026449A" w:rsidRDefault="0026449A">
      <w:r>
        <w:separator/>
      </w:r>
    </w:p>
  </w:endnote>
  <w:endnote w:type="continuationSeparator" w:id="0">
    <w:p w14:paraId="7F8A781B" w14:textId="77777777" w:rsidR="0026449A" w:rsidRDefault="0026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1FC7C" w14:textId="77777777" w:rsidR="008C6ED9" w:rsidRDefault="008C6ED9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691FE5AE" w14:textId="77777777" w:rsidR="008C6ED9" w:rsidRDefault="00DC735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8C6ED9">
      <w:instrText xml:space="preserve"> PAGE  \* MERGEFORMAT </w:instrText>
    </w:r>
    <w:r>
      <w:fldChar w:fldCharType="separate"/>
    </w:r>
    <w:r w:rsidR="0076165E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0110C" w14:textId="77777777" w:rsidR="008C6ED9" w:rsidRDefault="008C6ED9">
    <w:pPr>
      <w:pStyle w:val="Zpat"/>
      <w:tabs>
        <w:tab w:val="clear" w:pos="8930"/>
        <w:tab w:val="right" w:pos="8931"/>
      </w:tabs>
    </w:pPr>
  </w:p>
  <w:p w14:paraId="278AD0A7" w14:textId="77777777" w:rsidR="008C6ED9" w:rsidRDefault="00DC735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8C6ED9">
      <w:instrText xml:space="preserve"> PAGE  \* MERGEFORMAT </w:instrText>
    </w:r>
    <w:r>
      <w:fldChar w:fldCharType="separate"/>
    </w:r>
    <w:r w:rsidR="0076165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A1A0D" w14:textId="77777777" w:rsidR="0026449A" w:rsidRDefault="0026449A">
      <w:r>
        <w:separator/>
      </w:r>
    </w:p>
  </w:footnote>
  <w:footnote w:type="continuationSeparator" w:id="0">
    <w:p w14:paraId="274AABAC" w14:textId="77777777" w:rsidR="0026449A" w:rsidRDefault="00264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lvlRestart w:val="2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Restart w:val="2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Restart w:val="2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Restart w:val="2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Restart w:val="2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5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9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37" w15:restartNumberingAfterBreak="0">
    <w:nsid w:val="7EE14A5B"/>
    <w:multiLevelType w:val="hybridMultilevel"/>
    <w:tmpl w:val="4EF0CA0C"/>
    <w:lvl w:ilvl="0" w:tplc="4F1685D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5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4"/>
  </w:num>
  <w:num w:numId="5">
    <w:abstractNumId w:val="33"/>
  </w:num>
  <w:num w:numId="6">
    <w:abstractNumId w:val="11"/>
  </w:num>
  <w:num w:numId="7">
    <w:abstractNumId w:val="21"/>
  </w:num>
  <w:num w:numId="8">
    <w:abstractNumId w:val="20"/>
  </w:num>
  <w:num w:numId="9">
    <w:abstractNumId w:val="6"/>
  </w:num>
  <w:num w:numId="10">
    <w:abstractNumId w:val="31"/>
  </w:num>
  <w:num w:numId="11">
    <w:abstractNumId w:val="32"/>
  </w:num>
  <w:num w:numId="12">
    <w:abstractNumId w:val="16"/>
  </w:num>
  <w:num w:numId="13">
    <w:abstractNumId w:val="13"/>
  </w:num>
  <w:num w:numId="14">
    <w:abstractNumId w:val="2"/>
  </w:num>
  <w:num w:numId="15">
    <w:abstractNumId w:val="30"/>
  </w:num>
  <w:num w:numId="16">
    <w:abstractNumId w:val="18"/>
  </w:num>
  <w:num w:numId="17">
    <w:abstractNumId w:val="35"/>
  </w:num>
  <w:num w:numId="18">
    <w:abstractNumId w:val="7"/>
  </w:num>
  <w:num w:numId="19">
    <w:abstractNumId w:val="1"/>
  </w:num>
  <w:num w:numId="20">
    <w:abstractNumId w:val="17"/>
  </w:num>
  <w:num w:numId="21">
    <w:abstractNumId w:val="3"/>
  </w:num>
  <w:num w:numId="22">
    <w:abstractNumId w:val="5"/>
  </w:num>
  <w:num w:numId="23">
    <w:abstractNumId w:val="24"/>
  </w:num>
  <w:num w:numId="24">
    <w:abstractNumId w:val="10"/>
  </w:num>
  <w:num w:numId="25">
    <w:abstractNumId w:val="29"/>
  </w:num>
  <w:num w:numId="26">
    <w:abstractNumId w:val="23"/>
  </w:num>
  <w:num w:numId="27">
    <w:abstractNumId w:val="12"/>
  </w:num>
  <w:num w:numId="28">
    <w:abstractNumId w:val="9"/>
  </w:num>
  <w:num w:numId="29">
    <w:abstractNumId w:val="19"/>
  </w:num>
  <w:num w:numId="30">
    <w:abstractNumId w:val="22"/>
  </w:num>
  <w:num w:numId="31">
    <w:abstractNumId w:val="14"/>
  </w:num>
  <w:num w:numId="32">
    <w:abstractNumId w:val="8"/>
  </w:num>
  <w:num w:numId="33">
    <w:abstractNumId w:val="27"/>
  </w:num>
  <w:num w:numId="34">
    <w:abstractNumId w:val="28"/>
  </w:num>
  <w:num w:numId="35">
    <w:abstractNumId w:val="26"/>
  </w:num>
  <w:num w:numId="36">
    <w:abstractNumId w:val="15"/>
  </w:num>
  <w:num w:numId="37">
    <w:abstractNumId w:val="4"/>
  </w:num>
  <w:num w:numId="38">
    <w:abstractNumId w:val="36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C6ED9"/>
    <w:rsid w:val="00004286"/>
    <w:rsid w:val="0004272F"/>
    <w:rsid w:val="00067A9A"/>
    <w:rsid w:val="00070D48"/>
    <w:rsid w:val="000B7ECB"/>
    <w:rsid w:val="000F7E3A"/>
    <w:rsid w:val="0012160E"/>
    <w:rsid w:val="00160063"/>
    <w:rsid w:val="001A3E74"/>
    <w:rsid w:val="001A6D99"/>
    <w:rsid w:val="001B4CB4"/>
    <w:rsid w:val="001B6F36"/>
    <w:rsid w:val="001D5E68"/>
    <w:rsid w:val="001D776F"/>
    <w:rsid w:val="001F409B"/>
    <w:rsid w:val="00202280"/>
    <w:rsid w:val="002106AB"/>
    <w:rsid w:val="00214498"/>
    <w:rsid w:val="0026449A"/>
    <w:rsid w:val="002D6C74"/>
    <w:rsid w:val="00332C09"/>
    <w:rsid w:val="003360AB"/>
    <w:rsid w:val="0038542B"/>
    <w:rsid w:val="00386B4D"/>
    <w:rsid w:val="0039313C"/>
    <w:rsid w:val="003961E2"/>
    <w:rsid w:val="003C00A2"/>
    <w:rsid w:val="003C35AA"/>
    <w:rsid w:val="003F4482"/>
    <w:rsid w:val="004061D2"/>
    <w:rsid w:val="00421389"/>
    <w:rsid w:val="0049628D"/>
    <w:rsid w:val="004F268B"/>
    <w:rsid w:val="00506CE6"/>
    <w:rsid w:val="005B0F57"/>
    <w:rsid w:val="005C07E3"/>
    <w:rsid w:val="005D2377"/>
    <w:rsid w:val="005D4EE7"/>
    <w:rsid w:val="00616AEF"/>
    <w:rsid w:val="006230BC"/>
    <w:rsid w:val="00644CB7"/>
    <w:rsid w:val="00653B01"/>
    <w:rsid w:val="00675208"/>
    <w:rsid w:val="006917C6"/>
    <w:rsid w:val="006B1433"/>
    <w:rsid w:val="006C51F8"/>
    <w:rsid w:val="0075462E"/>
    <w:rsid w:val="0076165E"/>
    <w:rsid w:val="00773916"/>
    <w:rsid w:val="007D30AE"/>
    <w:rsid w:val="007E2D13"/>
    <w:rsid w:val="007F26F1"/>
    <w:rsid w:val="0082273A"/>
    <w:rsid w:val="00847036"/>
    <w:rsid w:val="00853604"/>
    <w:rsid w:val="008C6ED9"/>
    <w:rsid w:val="00982AB6"/>
    <w:rsid w:val="0099475A"/>
    <w:rsid w:val="009949EA"/>
    <w:rsid w:val="00A81599"/>
    <w:rsid w:val="00AA2825"/>
    <w:rsid w:val="00B6719E"/>
    <w:rsid w:val="00BA6855"/>
    <w:rsid w:val="00BE7648"/>
    <w:rsid w:val="00C17497"/>
    <w:rsid w:val="00C532E8"/>
    <w:rsid w:val="00C644E4"/>
    <w:rsid w:val="00C93831"/>
    <w:rsid w:val="00CA311E"/>
    <w:rsid w:val="00D1523C"/>
    <w:rsid w:val="00D3766F"/>
    <w:rsid w:val="00D5770E"/>
    <w:rsid w:val="00D65F7B"/>
    <w:rsid w:val="00DC7354"/>
    <w:rsid w:val="00DD0850"/>
    <w:rsid w:val="00DE1F04"/>
    <w:rsid w:val="00E02375"/>
    <w:rsid w:val="00E17CCA"/>
    <w:rsid w:val="00E51AB9"/>
    <w:rsid w:val="00E52D83"/>
    <w:rsid w:val="00E57996"/>
    <w:rsid w:val="00E57DB7"/>
    <w:rsid w:val="00EB49FC"/>
    <w:rsid w:val="00F0406B"/>
    <w:rsid w:val="00F4193B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E100C66"/>
  <w15:docId w15:val="{53582D7B-BBB1-4ADB-9C2C-7867D750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983C46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rsid w:val="00983C46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rsid w:val="00983C46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rsid w:val="00983C46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rsid w:val="00983C46"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rsid w:val="00983C46"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rsid w:val="00983C46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983C46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983C46"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983C46"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83C46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rsid w:val="00983C46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rsid w:val="00983C46"/>
    <w:pPr>
      <w:ind w:left="1760"/>
    </w:pPr>
  </w:style>
  <w:style w:type="character" w:styleId="Odkaznavysvtlivky">
    <w:name w:val="endnote reference"/>
    <w:rsid w:val="00983C46"/>
    <w:rPr>
      <w:vertAlign w:val="superscript"/>
    </w:rPr>
  </w:style>
  <w:style w:type="character" w:styleId="Znakapoznpodarou">
    <w:name w:val="footnote reference"/>
    <w:rsid w:val="00983C46"/>
    <w:rPr>
      <w:vertAlign w:val="superscript"/>
    </w:rPr>
  </w:style>
  <w:style w:type="paragraph" w:styleId="Textpoznpodarou">
    <w:name w:val="footnote text"/>
    <w:basedOn w:val="Normln"/>
    <w:rsid w:val="00983C46"/>
    <w:pPr>
      <w:jc w:val="both"/>
    </w:pPr>
    <w:rPr>
      <w:sz w:val="20"/>
    </w:rPr>
  </w:style>
  <w:style w:type="paragraph" w:styleId="Zkladntext">
    <w:name w:val="Body Text"/>
    <w:basedOn w:val="Normln"/>
    <w:rsid w:val="00983C46"/>
    <w:pPr>
      <w:jc w:val="both"/>
    </w:pPr>
  </w:style>
  <w:style w:type="paragraph" w:styleId="Textvbloku">
    <w:name w:val="Block Text"/>
    <w:basedOn w:val="Normln"/>
    <w:rsid w:val="00983C46"/>
    <w:pPr>
      <w:ind w:left="2268" w:right="1711"/>
    </w:pPr>
    <w:rPr>
      <w:b/>
    </w:rPr>
  </w:style>
  <w:style w:type="paragraph" w:styleId="Zkladntext2">
    <w:name w:val="Body Text 2"/>
    <w:basedOn w:val="Normln"/>
    <w:rsid w:val="00983C46"/>
    <w:rPr>
      <w:b/>
    </w:rPr>
  </w:style>
  <w:style w:type="paragraph" w:styleId="Zkladntext3">
    <w:name w:val="Body Text 3"/>
    <w:basedOn w:val="Normln"/>
    <w:rsid w:val="00983C46"/>
    <w:pPr>
      <w:ind w:right="113"/>
      <w:jc w:val="both"/>
    </w:pPr>
    <w:rPr>
      <w:b/>
    </w:rPr>
  </w:style>
  <w:style w:type="paragraph" w:styleId="Textvysvtlivek">
    <w:name w:val="endnote text"/>
    <w:basedOn w:val="Normln"/>
    <w:rsid w:val="00983C46"/>
  </w:style>
  <w:style w:type="character" w:styleId="Odkaznakoment">
    <w:name w:val="annotation reference"/>
    <w:rsid w:val="00983C46"/>
    <w:rPr>
      <w:sz w:val="16"/>
    </w:rPr>
  </w:style>
  <w:style w:type="paragraph" w:styleId="Zkladntextodsazen2">
    <w:name w:val="Body Text Indent 2"/>
    <w:basedOn w:val="Normln"/>
    <w:rsid w:val="00983C46"/>
    <w:pPr>
      <w:jc w:val="both"/>
    </w:pPr>
    <w:rPr>
      <w:b/>
    </w:rPr>
  </w:style>
  <w:style w:type="paragraph" w:styleId="Textkomente">
    <w:name w:val="annotation text"/>
    <w:basedOn w:val="Normln"/>
    <w:rsid w:val="00983C46"/>
    <w:rPr>
      <w:sz w:val="20"/>
    </w:rPr>
  </w:style>
  <w:style w:type="paragraph" w:styleId="Zkladntextodsazen3">
    <w:name w:val="Body Text Indent 3"/>
    <w:basedOn w:val="Normln"/>
    <w:rsid w:val="00983C46"/>
  </w:style>
  <w:style w:type="paragraph" w:customStyle="1" w:styleId="Bullet">
    <w:name w:val="Bullet"/>
    <w:basedOn w:val="Normln"/>
    <w:rsid w:val="00983C46"/>
    <w:pPr>
      <w:numPr>
        <w:numId w:val="2"/>
      </w:numPr>
    </w:pPr>
  </w:style>
  <w:style w:type="paragraph" w:styleId="Textbubliny">
    <w:name w:val="Balloon Text"/>
    <w:basedOn w:val="Normln"/>
    <w:rsid w:val="00983C46"/>
    <w:rPr>
      <w:rFonts w:ascii="Tahoma" w:hAnsi="Tahoma" w:cs="Tahoma"/>
      <w:sz w:val="16"/>
      <w:szCs w:val="16"/>
    </w:rPr>
  </w:style>
  <w:style w:type="character" w:styleId="Hypertextovodkaz">
    <w:name w:val="Hyperlink"/>
    <w:rsid w:val="00983C46"/>
    <w:rPr>
      <w:color w:val="0000FF"/>
      <w:u w:val="single"/>
    </w:rPr>
  </w:style>
  <w:style w:type="paragraph" w:customStyle="1" w:styleId="AHeader1">
    <w:name w:val="AHeader 1"/>
    <w:basedOn w:val="Normln"/>
    <w:rsid w:val="00983C46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rsid w:val="00983C46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983C46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rsid w:val="00983C46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983C46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sid w:val="00983C46"/>
    <w:rPr>
      <w:color w:val="800080"/>
      <w:u w:val="single"/>
    </w:rPr>
  </w:style>
  <w:style w:type="paragraph" w:styleId="Nzev">
    <w:name w:val="Title"/>
    <w:basedOn w:val="Normln"/>
    <w:link w:val="NzevChar"/>
    <w:qFormat/>
    <w:rsid w:val="005921E9"/>
    <w:pPr>
      <w:autoSpaceDE w:val="0"/>
      <w:autoSpaceDN w:val="0"/>
      <w:adjustRightInd w:val="0"/>
      <w:ind w:left="0" w:firstLine="0"/>
      <w:jc w:val="center"/>
    </w:pPr>
    <w:rPr>
      <w:rFonts w:ascii="Verdana" w:hAnsi="Verdana"/>
      <w:b/>
      <w:bCs/>
      <w:snapToGrid w:val="0"/>
      <w:sz w:val="32"/>
      <w:szCs w:val="36"/>
      <w:lang w:val="en-GB"/>
    </w:rPr>
  </w:style>
  <w:style w:type="character" w:customStyle="1" w:styleId="NzevChar">
    <w:name w:val="Název Char"/>
    <w:link w:val="Nzev"/>
    <w:rsid w:val="005921E9"/>
    <w:rPr>
      <w:rFonts w:ascii="Verdana" w:hAnsi="Verdana"/>
      <w:b/>
      <w:bCs/>
      <w:snapToGrid w:val="0"/>
      <w:sz w:val="32"/>
      <w:szCs w:val="36"/>
      <w:lang w:val="en-GB" w:eastAsia="en-US" w:bidi="ar-SA"/>
    </w:rPr>
  </w:style>
  <w:style w:type="character" w:customStyle="1" w:styleId="hps">
    <w:name w:val="hps"/>
    <w:rsid w:val="005921E9"/>
  </w:style>
  <w:style w:type="paragraph" w:styleId="Revize">
    <w:name w:val="Revision"/>
    <w:hidden/>
    <w:rsid w:val="00847036"/>
    <w:rPr>
      <w:sz w:val="22"/>
      <w:lang w:eastAsia="en-US"/>
    </w:rPr>
  </w:style>
  <w:style w:type="paragraph" w:customStyle="1" w:styleId="Style1">
    <w:name w:val="Style1"/>
    <w:basedOn w:val="Normln"/>
    <w:qFormat/>
    <w:rsid w:val="006230BC"/>
    <w:pPr>
      <w:tabs>
        <w:tab w:val="left" w:pos="0"/>
      </w:tabs>
    </w:pPr>
    <w:rPr>
      <w:b/>
      <w:szCs w:val="22"/>
    </w:rPr>
  </w:style>
  <w:style w:type="character" w:styleId="Nevyeenzmnka">
    <w:name w:val="Unresolved Mention"/>
    <w:rsid w:val="001B6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24DA3-D078-4FED-A212-D39BBA79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7</Pages>
  <Words>1693</Words>
  <Characters>9990</Characters>
  <Application>Microsoft Office Word</Application>
  <DocSecurity>0</DocSecurity>
  <Lines>83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[Version 7</vt:lpstr>
      <vt:lpstr>[Version 7</vt:lpstr>
      <vt:lpstr>[Version 7</vt:lpstr>
    </vt:vector>
  </TitlesOfParts>
  <Company>Translation Centre</Company>
  <LinksUpToDate>false</LinksUpToDate>
  <CharactersWithSpaces>11660</CharactersWithSpaces>
  <SharedDoc>false</SharedDoc>
  <HLinks>
    <vt:vector size="6" baseType="variant"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</dc:title>
  <dc:subject>General-EMEA/182460/2007</dc:subject>
  <dc:creator>Vejmělková Pavla</dc:creator>
  <cp:keywords/>
  <dc:description/>
  <cp:lastModifiedBy>Neugebauerová Kateřina</cp:lastModifiedBy>
  <cp:revision>24</cp:revision>
  <cp:lastPrinted>2026-01-20T13:06:00Z</cp:lastPrinted>
  <dcterms:created xsi:type="dcterms:W3CDTF">2025-05-16T10:11:00Z</dcterms:created>
  <dcterms:modified xsi:type="dcterms:W3CDTF">2026-01-20T13:06:00Z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General-EMEA/182460/2007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V01a CS SPC-II-lab-pl v 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23/04/2007 10:24:26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23/04/2007 10:24:26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CURRENT, published April  07</vt:lpwstr>
  </property>
  <property fmtid="{D5CDD505-2E9C-101B-9397-08002B2CF9AE}" pid="16" name="DM_emea_doc_ref_id">
    <vt:lpwstr>EMEA/182460/2007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182460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</Properties>
</file>