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FABA80" w14:textId="77777777" w:rsidR="00C114FF" w:rsidRPr="00383E22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3D17506" w14:textId="77777777" w:rsidR="00C114FF" w:rsidRPr="00383E22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5834DAE" w14:textId="77777777" w:rsidR="00C114FF" w:rsidRPr="00383E22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947F8A2" w14:textId="77777777" w:rsidR="00C114FF" w:rsidRPr="00383E22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91A3252" w14:textId="77777777" w:rsidR="00C114FF" w:rsidRPr="00383E22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D095AF8" w14:textId="77777777" w:rsidR="00C114FF" w:rsidRPr="00383E22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AF39424" w14:textId="77777777" w:rsidR="00C114FF" w:rsidRPr="00383E22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D86FDD3" w14:textId="77777777" w:rsidR="00C114FF" w:rsidRPr="00383E22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EC44BD7" w14:textId="77777777" w:rsidR="00C114FF" w:rsidRPr="00383E22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B9E35D2" w14:textId="77777777" w:rsidR="00C114FF" w:rsidRPr="00383E22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F839467" w14:textId="77777777" w:rsidR="00C114FF" w:rsidRPr="00383E22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5E10876" w14:textId="77777777" w:rsidR="00C114FF" w:rsidRPr="00383E22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50E76EE" w14:textId="77777777" w:rsidR="00C114FF" w:rsidRPr="00383E22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6F536B1" w14:textId="77777777" w:rsidR="00C114FF" w:rsidRPr="00383E22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84000E9" w14:textId="77777777" w:rsidR="00C114FF" w:rsidRPr="00383E22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A6FD7F6" w14:textId="77777777" w:rsidR="00C114FF" w:rsidRPr="00383E22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FBCF918" w14:textId="77777777" w:rsidR="00C114FF" w:rsidRPr="00383E22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FACE9F4" w14:textId="77777777" w:rsidR="00C114FF" w:rsidRPr="00383E22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798267C" w14:textId="77777777" w:rsidR="00C114FF" w:rsidRPr="00383E22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3092BCE" w14:textId="77777777" w:rsidR="00C114FF" w:rsidRPr="00383E22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1E23F9F" w14:textId="77777777" w:rsidR="00C114FF" w:rsidRPr="00383E22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FAFA309" w14:textId="77777777" w:rsidR="00C114FF" w:rsidRPr="00383E22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00E55CD" w14:textId="77777777" w:rsidR="00C114FF" w:rsidRPr="00383E22" w:rsidRDefault="0081532F" w:rsidP="00A9226B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  <w:r w:rsidRPr="00383E22">
        <w:rPr>
          <w:b/>
          <w:szCs w:val="22"/>
        </w:rPr>
        <w:t>PŘÍLOHA I</w:t>
      </w:r>
    </w:p>
    <w:p w14:paraId="50FE88E4" w14:textId="77777777" w:rsidR="00C114FF" w:rsidRPr="00383E22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FD6707D" w14:textId="77777777" w:rsidR="00C114FF" w:rsidRPr="00383E22" w:rsidRDefault="0081532F" w:rsidP="00A9226B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  <w:r w:rsidRPr="00383E22">
        <w:rPr>
          <w:b/>
          <w:szCs w:val="22"/>
        </w:rPr>
        <w:t>SOUHRN ÚDAJŮ O PŘÍPRAVKU</w:t>
      </w:r>
    </w:p>
    <w:p w14:paraId="70A64732" w14:textId="77777777" w:rsidR="00C114FF" w:rsidRPr="00383E22" w:rsidRDefault="0081532F" w:rsidP="00B13B6D">
      <w:pPr>
        <w:pStyle w:val="Style1"/>
      </w:pPr>
      <w:r w:rsidRPr="00383E22">
        <w:br w:type="page"/>
      </w:r>
      <w:r w:rsidRPr="00383E22">
        <w:lastRenderedPageBreak/>
        <w:t>1.</w:t>
      </w:r>
      <w:r w:rsidRPr="00383E22">
        <w:tab/>
        <w:t>NÁZEV VETERINÁRNÍHO LÉČIVÉHO PŘÍPRAVKU</w:t>
      </w:r>
    </w:p>
    <w:p w14:paraId="3606368F" w14:textId="77777777" w:rsidR="00C114FF" w:rsidRPr="00383E22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4F5C24C" w14:textId="770BD1A9" w:rsidR="0081532F" w:rsidRPr="00383E22" w:rsidRDefault="0081532F" w:rsidP="0081532F">
      <w:pPr>
        <w:rPr>
          <w:szCs w:val="22"/>
        </w:rPr>
      </w:pPr>
      <w:r w:rsidRPr="00383E22">
        <w:rPr>
          <w:szCs w:val="22"/>
        </w:rPr>
        <w:t>Clindaseptin 25 mg/ml perorální roztok pro kočky a psy</w:t>
      </w:r>
    </w:p>
    <w:p w14:paraId="5906BB1F" w14:textId="77777777" w:rsidR="00C114FF" w:rsidRPr="00383E22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245778A" w14:textId="77777777" w:rsidR="00C114FF" w:rsidRPr="00383E22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E07DCD2" w14:textId="77777777" w:rsidR="00C114FF" w:rsidRPr="00383E22" w:rsidRDefault="0081532F" w:rsidP="00B13B6D">
      <w:pPr>
        <w:pStyle w:val="Style1"/>
      </w:pPr>
      <w:r w:rsidRPr="00383E22">
        <w:t>2.</w:t>
      </w:r>
      <w:r w:rsidRPr="00383E22">
        <w:tab/>
        <w:t>KVALITATIVNÍ A KVANTITATIVNÍ SLOŽENÍ</w:t>
      </w:r>
    </w:p>
    <w:p w14:paraId="4114CC73" w14:textId="58324EF1" w:rsidR="00C114FF" w:rsidRPr="00383E22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9908AB7" w14:textId="232D90E3" w:rsidR="0081532F" w:rsidRPr="00383E22" w:rsidRDefault="003137E7" w:rsidP="0081532F">
      <w:pPr>
        <w:rPr>
          <w:szCs w:val="22"/>
        </w:rPr>
      </w:pPr>
      <w:r>
        <w:rPr>
          <w:szCs w:val="22"/>
        </w:rPr>
        <w:t>Každý</w:t>
      </w:r>
      <w:r w:rsidRPr="00383E22">
        <w:rPr>
          <w:szCs w:val="22"/>
        </w:rPr>
        <w:t xml:space="preserve"> </w:t>
      </w:r>
      <w:r w:rsidR="0081532F" w:rsidRPr="00383E22">
        <w:rPr>
          <w:szCs w:val="22"/>
        </w:rPr>
        <w:t>ml obsahuje:</w:t>
      </w:r>
    </w:p>
    <w:p w14:paraId="69268191" w14:textId="77777777" w:rsidR="0081532F" w:rsidRPr="00383E22" w:rsidRDefault="0081532F" w:rsidP="0081532F">
      <w:pPr>
        <w:rPr>
          <w:szCs w:val="22"/>
        </w:rPr>
      </w:pPr>
    </w:p>
    <w:p w14:paraId="053FD6E1" w14:textId="77777777" w:rsidR="0081532F" w:rsidRPr="00383E22" w:rsidRDefault="0081532F" w:rsidP="0081532F">
      <w:pPr>
        <w:tabs>
          <w:tab w:val="clear" w:pos="567"/>
        </w:tabs>
        <w:spacing w:line="240" w:lineRule="auto"/>
        <w:rPr>
          <w:b/>
          <w:szCs w:val="22"/>
        </w:rPr>
      </w:pPr>
      <w:r w:rsidRPr="00383E22">
        <w:rPr>
          <w:b/>
          <w:szCs w:val="22"/>
        </w:rPr>
        <w:t>Léčivé látky:</w:t>
      </w:r>
    </w:p>
    <w:p w14:paraId="59E06469" w14:textId="77777777" w:rsidR="0081532F" w:rsidRPr="00383E22" w:rsidRDefault="0081532F" w:rsidP="0081532F">
      <w:pPr>
        <w:tabs>
          <w:tab w:val="left" w:pos="4320"/>
        </w:tabs>
        <w:rPr>
          <w:szCs w:val="22"/>
        </w:rPr>
      </w:pPr>
      <w:r w:rsidRPr="00383E22">
        <w:rPr>
          <w:szCs w:val="22"/>
        </w:rPr>
        <w:t>Clindamycinum</w:t>
      </w:r>
      <w:r w:rsidRPr="00383E22">
        <w:rPr>
          <w:szCs w:val="22"/>
        </w:rPr>
        <w:tab/>
        <w:t>25 mg</w:t>
      </w:r>
    </w:p>
    <w:p w14:paraId="1078E98A" w14:textId="261C2A69" w:rsidR="0081532F" w:rsidRPr="00383E22" w:rsidRDefault="0081532F" w:rsidP="0081532F">
      <w:pPr>
        <w:rPr>
          <w:szCs w:val="22"/>
        </w:rPr>
      </w:pPr>
      <w:r w:rsidRPr="00383E22">
        <w:rPr>
          <w:szCs w:val="22"/>
        </w:rPr>
        <w:t>(</w:t>
      </w:r>
      <w:r w:rsidR="003137E7">
        <w:rPr>
          <w:szCs w:val="22"/>
        </w:rPr>
        <w:t>jako</w:t>
      </w:r>
      <w:r w:rsidR="003137E7" w:rsidRPr="00383E22">
        <w:rPr>
          <w:szCs w:val="22"/>
        </w:rPr>
        <w:t xml:space="preserve"> </w:t>
      </w:r>
      <w:r w:rsidRPr="00383E22">
        <w:rPr>
          <w:szCs w:val="22"/>
        </w:rPr>
        <w:t>clindamycini hydrochloridum 27,15 mg)</w:t>
      </w:r>
    </w:p>
    <w:p w14:paraId="09A3FB00" w14:textId="77777777" w:rsidR="0081532F" w:rsidRPr="00383E22" w:rsidRDefault="0081532F" w:rsidP="0081532F">
      <w:pPr>
        <w:rPr>
          <w:szCs w:val="22"/>
        </w:rPr>
      </w:pPr>
    </w:p>
    <w:p w14:paraId="72E0D463" w14:textId="77777777" w:rsidR="0081532F" w:rsidRPr="00383E22" w:rsidRDefault="0081532F" w:rsidP="0081532F">
      <w:pPr>
        <w:rPr>
          <w:b/>
          <w:szCs w:val="22"/>
        </w:rPr>
      </w:pPr>
      <w:r w:rsidRPr="00383E22">
        <w:rPr>
          <w:b/>
          <w:szCs w:val="22"/>
        </w:rPr>
        <w:t>Pomocné látky:</w:t>
      </w:r>
    </w:p>
    <w:p w14:paraId="13C45036" w14:textId="3C08FBCD" w:rsidR="00C114FF" w:rsidRPr="00383E22" w:rsidRDefault="0081532F" w:rsidP="005936AC">
      <w:pPr>
        <w:tabs>
          <w:tab w:val="left" w:pos="4320"/>
        </w:tabs>
        <w:rPr>
          <w:szCs w:val="22"/>
        </w:rPr>
      </w:pPr>
      <w:r w:rsidRPr="00383E22">
        <w:rPr>
          <w:szCs w:val="22"/>
        </w:rPr>
        <w:tab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32"/>
        <w:gridCol w:w="4529"/>
      </w:tblGrid>
      <w:tr w:rsidR="00385A69" w:rsidRPr="00383E22" w14:paraId="0B4C76E3" w14:textId="77777777" w:rsidTr="00872C48">
        <w:tc>
          <w:tcPr>
            <w:tcW w:w="4643" w:type="dxa"/>
            <w:vAlign w:val="center"/>
          </w:tcPr>
          <w:p w14:paraId="6D45EB6D" w14:textId="01F48DD1" w:rsidR="00872C48" w:rsidRPr="00383E22" w:rsidRDefault="0081532F" w:rsidP="00617B81">
            <w:pPr>
              <w:spacing w:before="60" w:after="60"/>
              <w:rPr>
                <w:b/>
                <w:bCs/>
                <w:iCs/>
                <w:szCs w:val="22"/>
              </w:rPr>
            </w:pPr>
            <w:r w:rsidRPr="00383E22">
              <w:rPr>
                <w:b/>
                <w:bCs/>
                <w:iCs/>
                <w:szCs w:val="22"/>
              </w:rPr>
              <w:t>Kvalitativní složení pomocných látek a dalších složek</w:t>
            </w:r>
          </w:p>
        </w:tc>
        <w:tc>
          <w:tcPr>
            <w:tcW w:w="4644" w:type="dxa"/>
            <w:vAlign w:val="center"/>
          </w:tcPr>
          <w:p w14:paraId="2E659D33" w14:textId="1D021C58" w:rsidR="00872C48" w:rsidRPr="00383E22" w:rsidRDefault="0081532F" w:rsidP="00617B81">
            <w:pPr>
              <w:spacing w:before="60" w:after="60"/>
              <w:rPr>
                <w:b/>
                <w:bCs/>
                <w:iCs/>
                <w:szCs w:val="22"/>
              </w:rPr>
            </w:pPr>
            <w:r w:rsidRPr="00383E22">
              <w:rPr>
                <w:b/>
                <w:bCs/>
                <w:iCs/>
                <w:szCs w:val="22"/>
              </w:rPr>
              <w:t>Kvantitativní složení, pokud je tato informace nezbytná pro řádné podání veterinárního léčivého přípravku</w:t>
            </w:r>
          </w:p>
        </w:tc>
      </w:tr>
      <w:tr w:rsidR="00385A69" w:rsidRPr="00383E22" w14:paraId="7D5263D3" w14:textId="77777777" w:rsidTr="00872C48">
        <w:tc>
          <w:tcPr>
            <w:tcW w:w="4643" w:type="dxa"/>
            <w:vAlign w:val="center"/>
          </w:tcPr>
          <w:p w14:paraId="0F798F46" w14:textId="3FB0C894" w:rsidR="00872C48" w:rsidRPr="00383E22" w:rsidRDefault="0081532F" w:rsidP="0098273A">
            <w:pPr>
              <w:spacing w:before="60" w:after="60"/>
              <w:ind w:left="567" w:hanging="567"/>
              <w:rPr>
                <w:iCs/>
                <w:szCs w:val="22"/>
              </w:rPr>
            </w:pPr>
            <w:r w:rsidRPr="00383E22">
              <w:rPr>
                <w:szCs w:val="22"/>
              </w:rPr>
              <w:t>Ethanol 96%</w:t>
            </w:r>
          </w:p>
        </w:tc>
        <w:tc>
          <w:tcPr>
            <w:tcW w:w="4644" w:type="dxa"/>
            <w:vAlign w:val="center"/>
          </w:tcPr>
          <w:p w14:paraId="457A3BBC" w14:textId="7335D55D" w:rsidR="00872C48" w:rsidRPr="00383E22" w:rsidRDefault="0081532F" w:rsidP="00BF00EF">
            <w:pPr>
              <w:spacing w:before="60" w:after="60"/>
              <w:rPr>
                <w:iCs/>
                <w:szCs w:val="22"/>
              </w:rPr>
            </w:pPr>
            <w:r w:rsidRPr="00383E22">
              <w:rPr>
                <w:szCs w:val="22"/>
              </w:rPr>
              <w:t>90,56 mg</w:t>
            </w:r>
          </w:p>
        </w:tc>
      </w:tr>
      <w:tr w:rsidR="00385A69" w:rsidRPr="00383E22" w14:paraId="6A4C5E50" w14:textId="77777777" w:rsidTr="00872C48">
        <w:tc>
          <w:tcPr>
            <w:tcW w:w="4643" w:type="dxa"/>
            <w:vAlign w:val="center"/>
          </w:tcPr>
          <w:p w14:paraId="5CCC8F42" w14:textId="6303BF01" w:rsidR="00872C48" w:rsidRPr="00383E22" w:rsidRDefault="0081532F" w:rsidP="002B5727">
            <w:pPr>
              <w:spacing w:before="60" w:after="60"/>
              <w:rPr>
                <w:szCs w:val="22"/>
                <w:lang w:val="en-US"/>
              </w:rPr>
            </w:pPr>
            <w:r w:rsidRPr="00383E22">
              <w:rPr>
                <w:szCs w:val="22"/>
              </w:rPr>
              <w:t>Nekrystalizující sorbitol 70% E420</w:t>
            </w:r>
          </w:p>
        </w:tc>
        <w:tc>
          <w:tcPr>
            <w:tcW w:w="4644" w:type="dxa"/>
            <w:vAlign w:val="center"/>
          </w:tcPr>
          <w:p w14:paraId="2EA0CFB0" w14:textId="77777777" w:rsidR="00872C48" w:rsidRPr="00383E22" w:rsidRDefault="00872C48" w:rsidP="00BF00EF">
            <w:pPr>
              <w:spacing w:before="60" w:after="60"/>
              <w:rPr>
                <w:iCs/>
                <w:szCs w:val="22"/>
              </w:rPr>
            </w:pPr>
          </w:p>
        </w:tc>
      </w:tr>
      <w:tr w:rsidR="00385A69" w:rsidRPr="00383E22" w14:paraId="1E235C5B" w14:textId="77777777" w:rsidTr="00872C48">
        <w:tc>
          <w:tcPr>
            <w:tcW w:w="4643" w:type="dxa"/>
            <w:vAlign w:val="center"/>
          </w:tcPr>
          <w:p w14:paraId="0ECB18EE" w14:textId="5FA12126" w:rsidR="00872C48" w:rsidRPr="00383E22" w:rsidRDefault="0081532F" w:rsidP="002B5727">
            <w:pPr>
              <w:spacing w:before="60" w:after="60"/>
              <w:rPr>
                <w:szCs w:val="22"/>
              </w:rPr>
            </w:pPr>
            <w:r w:rsidRPr="00383E22">
              <w:rPr>
                <w:szCs w:val="22"/>
              </w:rPr>
              <w:t>Dinatrium-edetát</w:t>
            </w:r>
          </w:p>
        </w:tc>
        <w:tc>
          <w:tcPr>
            <w:tcW w:w="4644" w:type="dxa"/>
            <w:vAlign w:val="center"/>
          </w:tcPr>
          <w:p w14:paraId="20880B39" w14:textId="77777777" w:rsidR="00872C48" w:rsidRPr="00383E22" w:rsidRDefault="00872C48" w:rsidP="00BF00EF">
            <w:pPr>
              <w:spacing w:before="60" w:after="60"/>
              <w:rPr>
                <w:iCs/>
                <w:szCs w:val="22"/>
              </w:rPr>
            </w:pPr>
          </w:p>
        </w:tc>
      </w:tr>
      <w:tr w:rsidR="00385A69" w:rsidRPr="00383E22" w14:paraId="726979DE" w14:textId="77777777" w:rsidTr="00872C48">
        <w:tc>
          <w:tcPr>
            <w:tcW w:w="4643" w:type="dxa"/>
            <w:vAlign w:val="center"/>
          </w:tcPr>
          <w:p w14:paraId="4D9ACFF2" w14:textId="0A8FD8F3" w:rsidR="00872C48" w:rsidRPr="00383E22" w:rsidRDefault="0081532F" w:rsidP="002B5727">
            <w:pPr>
              <w:spacing w:before="60" w:after="60"/>
              <w:rPr>
                <w:szCs w:val="22"/>
              </w:rPr>
            </w:pPr>
            <w:r w:rsidRPr="00383E22">
              <w:rPr>
                <w:szCs w:val="22"/>
              </w:rPr>
              <w:t>Propylenglykol E1520</w:t>
            </w:r>
          </w:p>
        </w:tc>
        <w:tc>
          <w:tcPr>
            <w:tcW w:w="4644" w:type="dxa"/>
            <w:vAlign w:val="center"/>
          </w:tcPr>
          <w:p w14:paraId="47285C4B" w14:textId="77777777" w:rsidR="00872C48" w:rsidRPr="00383E22" w:rsidRDefault="00872C48" w:rsidP="00BF00EF">
            <w:pPr>
              <w:spacing w:before="60" w:after="60"/>
              <w:rPr>
                <w:iCs/>
                <w:szCs w:val="22"/>
              </w:rPr>
            </w:pPr>
          </w:p>
        </w:tc>
      </w:tr>
      <w:tr w:rsidR="00385A69" w:rsidRPr="00383E22" w14:paraId="7E2051F5" w14:textId="77777777" w:rsidTr="00872C48">
        <w:tc>
          <w:tcPr>
            <w:tcW w:w="4643" w:type="dxa"/>
            <w:vAlign w:val="center"/>
          </w:tcPr>
          <w:p w14:paraId="53752492" w14:textId="3303E3E0" w:rsidR="00872C48" w:rsidRPr="00383E22" w:rsidRDefault="0081532F" w:rsidP="002B5727">
            <w:pPr>
              <w:spacing w:before="60" w:after="60"/>
              <w:rPr>
                <w:szCs w:val="22"/>
              </w:rPr>
            </w:pPr>
            <w:r w:rsidRPr="00383E22">
              <w:rPr>
                <w:szCs w:val="22"/>
              </w:rPr>
              <w:t>Sodná sůl sacharinu E954</w:t>
            </w:r>
          </w:p>
        </w:tc>
        <w:tc>
          <w:tcPr>
            <w:tcW w:w="4644" w:type="dxa"/>
            <w:vAlign w:val="center"/>
          </w:tcPr>
          <w:p w14:paraId="5008D6AC" w14:textId="77777777" w:rsidR="00872C48" w:rsidRPr="00383E22" w:rsidRDefault="00872C48" w:rsidP="00BF00EF">
            <w:pPr>
              <w:spacing w:before="60" w:after="60"/>
              <w:rPr>
                <w:iCs/>
                <w:szCs w:val="22"/>
              </w:rPr>
            </w:pPr>
          </w:p>
        </w:tc>
      </w:tr>
      <w:tr w:rsidR="0081532F" w:rsidRPr="00383E22" w14:paraId="0F4BC3AE" w14:textId="77777777" w:rsidTr="00872C48">
        <w:tc>
          <w:tcPr>
            <w:tcW w:w="4643" w:type="dxa"/>
            <w:vAlign w:val="center"/>
          </w:tcPr>
          <w:p w14:paraId="4C1302DD" w14:textId="2757D181" w:rsidR="0081532F" w:rsidRPr="00383E22" w:rsidRDefault="0081532F" w:rsidP="002B5727">
            <w:pPr>
              <w:spacing w:before="60" w:after="60"/>
              <w:rPr>
                <w:szCs w:val="22"/>
              </w:rPr>
            </w:pPr>
            <w:r w:rsidRPr="00383E22">
              <w:rPr>
                <w:szCs w:val="22"/>
              </w:rPr>
              <w:t>Monohydrát kyseliny citronové E330</w:t>
            </w:r>
          </w:p>
        </w:tc>
        <w:tc>
          <w:tcPr>
            <w:tcW w:w="4644" w:type="dxa"/>
            <w:vAlign w:val="center"/>
          </w:tcPr>
          <w:p w14:paraId="1061B43A" w14:textId="77777777" w:rsidR="0081532F" w:rsidRPr="00383E22" w:rsidRDefault="0081532F" w:rsidP="00BF00EF">
            <w:pPr>
              <w:spacing w:before="60" w:after="60"/>
              <w:rPr>
                <w:iCs/>
                <w:szCs w:val="22"/>
              </w:rPr>
            </w:pPr>
          </w:p>
        </w:tc>
      </w:tr>
      <w:tr w:rsidR="0081532F" w:rsidRPr="00383E22" w14:paraId="5C592927" w14:textId="77777777" w:rsidTr="00872C48">
        <w:tc>
          <w:tcPr>
            <w:tcW w:w="4643" w:type="dxa"/>
            <w:vAlign w:val="center"/>
          </w:tcPr>
          <w:p w14:paraId="689E9CEF" w14:textId="29CA9B64" w:rsidR="0081532F" w:rsidRPr="00383E22" w:rsidRDefault="0081532F" w:rsidP="002B5727">
            <w:pPr>
              <w:spacing w:before="60" w:after="60"/>
              <w:rPr>
                <w:iCs/>
                <w:szCs w:val="22"/>
              </w:rPr>
            </w:pPr>
            <w:r w:rsidRPr="00383E22">
              <w:rPr>
                <w:szCs w:val="22"/>
              </w:rPr>
              <w:t>Čištěná voda</w:t>
            </w:r>
          </w:p>
        </w:tc>
        <w:tc>
          <w:tcPr>
            <w:tcW w:w="4644" w:type="dxa"/>
            <w:vAlign w:val="center"/>
          </w:tcPr>
          <w:p w14:paraId="27F77BE8" w14:textId="77777777" w:rsidR="0081532F" w:rsidRPr="00383E22" w:rsidRDefault="0081532F" w:rsidP="00BF00EF">
            <w:pPr>
              <w:spacing w:before="60" w:after="60"/>
              <w:rPr>
                <w:iCs/>
                <w:szCs w:val="22"/>
              </w:rPr>
            </w:pPr>
          </w:p>
        </w:tc>
      </w:tr>
    </w:tbl>
    <w:p w14:paraId="38F51D2A" w14:textId="77777777" w:rsidR="00872C48" w:rsidRPr="00383E22" w:rsidRDefault="00872C48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3120E51" w14:textId="77777777" w:rsidR="002B5727" w:rsidRPr="00383E22" w:rsidRDefault="002B5727" w:rsidP="002B5727">
      <w:pPr>
        <w:rPr>
          <w:b/>
          <w:bCs/>
          <w:szCs w:val="22"/>
        </w:rPr>
      </w:pPr>
      <w:r w:rsidRPr="00383E22">
        <w:rPr>
          <w:szCs w:val="22"/>
        </w:rPr>
        <w:t>Čirý, bezbarvý roztok.</w:t>
      </w:r>
    </w:p>
    <w:p w14:paraId="451CF496" w14:textId="77777777" w:rsidR="005E005F" w:rsidRPr="00383E22" w:rsidRDefault="005E005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BA7A939" w14:textId="77777777" w:rsidR="002B5727" w:rsidRPr="00383E22" w:rsidRDefault="002B5727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8BC19A3" w14:textId="77777777" w:rsidR="00C114FF" w:rsidRPr="00383E22" w:rsidRDefault="0081532F" w:rsidP="00B13B6D">
      <w:pPr>
        <w:pStyle w:val="Style1"/>
      </w:pPr>
      <w:r w:rsidRPr="00383E22">
        <w:t>3.</w:t>
      </w:r>
      <w:r w:rsidRPr="00383E22">
        <w:tab/>
        <w:t>KLINICKÉ INFORMACE</w:t>
      </w:r>
    </w:p>
    <w:p w14:paraId="03304F78" w14:textId="77777777" w:rsidR="00C114FF" w:rsidRPr="00383E22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F656C7B" w14:textId="723B7D14" w:rsidR="00C114FF" w:rsidRPr="00383E22" w:rsidRDefault="0081532F" w:rsidP="00B13B6D">
      <w:pPr>
        <w:pStyle w:val="Style1"/>
      </w:pPr>
      <w:r w:rsidRPr="00383E22">
        <w:t>3.1</w:t>
      </w:r>
      <w:r w:rsidRPr="00383E22">
        <w:tab/>
        <w:t>Cílové druhy zvířat</w:t>
      </w:r>
    </w:p>
    <w:p w14:paraId="6F3A58CE" w14:textId="45E8A9E9" w:rsidR="002B5727" w:rsidRPr="00383E22" w:rsidRDefault="002B5727" w:rsidP="00B13B6D">
      <w:pPr>
        <w:pStyle w:val="Style1"/>
      </w:pPr>
    </w:p>
    <w:p w14:paraId="09CB1CD3" w14:textId="7577D315" w:rsidR="002B5727" w:rsidRPr="00383E22" w:rsidRDefault="002B5727" w:rsidP="002B5727">
      <w:pPr>
        <w:ind w:left="4500" w:hanging="4500"/>
        <w:jc w:val="both"/>
        <w:rPr>
          <w:szCs w:val="22"/>
        </w:rPr>
      </w:pPr>
      <w:r w:rsidRPr="00383E22">
        <w:rPr>
          <w:szCs w:val="22"/>
        </w:rPr>
        <w:t>Kočky a psi.</w:t>
      </w:r>
    </w:p>
    <w:p w14:paraId="20FFAC3D" w14:textId="77777777" w:rsidR="00C114FF" w:rsidRPr="00383E22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B7F6CD1" w14:textId="595DDA74" w:rsidR="00C114FF" w:rsidRPr="00383E22" w:rsidRDefault="0081532F" w:rsidP="00B13B6D">
      <w:pPr>
        <w:pStyle w:val="Style1"/>
      </w:pPr>
      <w:r w:rsidRPr="00383E22">
        <w:t>3.2</w:t>
      </w:r>
      <w:r w:rsidRPr="00383E22">
        <w:tab/>
        <w:t xml:space="preserve">Indikace pro použití pro každý cílový druh </w:t>
      </w:r>
      <w:r w:rsidR="0043586F" w:rsidRPr="00383E22">
        <w:t>zvířat</w:t>
      </w:r>
    </w:p>
    <w:p w14:paraId="327E3A6F" w14:textId="77777777" w:rsidR="00C114FF" w:rsidRPr="00383E22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02422EE" w14:textId="77777777" w:rsidR="002B5727" w:rsidRPr="00383E22" w:rsidRDefault="002B5727" w:rsidP="002B5727">
      <w:pPr>
        <w:tabs>
          <w:tab w:val="left" w:pos="720"/>
          <w:tab w:val="left" w:pos="1440"/>
        </w:tabs>
        <w:rPr>
          <w:szCs w:val="22"/>
        </w:rPr>
      </w:pPr>
      <w:r w:rsidRPr="00383E22">
        <w:rPr>
          <w:szCs w:val="22"/>
        </w:rPr>
        <w:t>Kočky:</w:t>
      </w:r>
    </w:p>
    <w:p w14:paraId="755CD6BB" w14:textId="6F57EE31" w:rsidR="002B5727" w:rsidRPr="00383E22" w:rsidRDefault="002B5727" w:rsidP="002B5727">
      <w:pPr>
        <w:tabs>
          <w:tab w:val="left" w:pos="720"/>
          <w:tab w:val="left" w:pos="1440"/>
        </w:tabs>
        <w:rPr>
          <w:szCs w:val="22"/>
        </w:rPr>
      </w:pPr>
      <w:r w:rsidRPr="00383E22">
        <w:rPr>
          <w:szCs w:val="22"/>
        </w:rPr>
        <w:t xml:space="preserve">Léčba infikovaných poranění a abscesů vyvolaných </w:t>
      </w:r>
      <w:bookmarkStart w:id="0" w:name="_Hlk234847723"/>
      <w:r w:rsidR="00F52887">
        <w:rPr>
          <w:szCs w:val="22"/>
        </w:rPr>
        <w:t>kmeny bakterií</w:t>
      </w:r>
      <w:r w:rsidR="00F52887" w:rsidRPr="00383E22">
        <w:rPr>
          <w:szCs w:val="22"/>
        </w:rPr>
        <w:t xml:space="preserve"> </w:t>
      </w:r>
      <w:bookmarkEnd w:id="0"/>
      <w:r w:rsidRPr="00383E22">
        <w:rPr>
          <w:szCs w:val="22"/>
        </w:rPr>
        <w:t xml:space="preserve">rodů </w:t>
      </w:r>
      <w:r w:rsidRPr="00383E22">
        <w:rPr>
          <w:i/>
          <w:szCs w:val="22"/>
        </w:rPr>
        <w:t>Staphylococcus</w:t>
      </w:r>
      <w:r w:rsidRPr="00383E22">
        <w:rPr>
          <w:szCs w:val="22"/>
        </w:rPr>
        <w:t xml:space="preserve"> a </w:t>
      </w:r>
      <w:r w:rsidRPr="00383E22">
        <w:rPr>
          <w:i/>
          <w:szCs w:val="22"/>
        </w:rPr>
        <w:t>Streptococcus</w:t>
      </w:r>
      <w:r w:rsidRPr="00383E22">
        <w:rPr>
          <w:szCs w:val="22"/>
        </w:rPr>
        <w:t xml:space="preserve"> citlivými </w:t>
      </w:r>
      <w:r w:rsidR="00584833">
        <w:rPr>
          <w:szCs w:val="22"/>
        </w:rPr>
        <w:t>ke</w:t>
      </w:r>
      <w:r w:rsidR="00584833" w:rsidRPr="00383E22">
        <w:rPr>
          <w:szCs w:val="22"/>
        </w:rPr>
        <w:t xml:space="preserve"> </w:t>
      </w:r>
      <w:r w:rsidRPr="00383E22">
        <w:rPr>
          <w:szCs w:val="22"/>
        </w:rPr>
        <w:t>klindamycin</w:t>
      </w:r>
      <w:r w:rsidR="00584833">
        <w:rPr>
          <w:szCs w:val="22"/>
        </w:rPr>
        <w:t>u</w:t>
      </w:r>
      <w:r w:rsidRPr="00383E22">
        <w:rPr>
          <w:szCs w:val="22"/>
        </w:rPr>
        <w:t>.</w:t>
      </w:r>
    </w:p>
    <w:p w14:paraId="05A6AEB6" w14:textId="77777777" w:rsidR="002B5727" w:rsidRPr="00383E22" w:rsidRDefault="002B5727" w:rsidP="002B5727">
      <w:pPr>
        <w:tabs>
          <w:tab w:val="left" w:pos="720"/>
          <w:tab w:val="left" w:pos="1440"/>
        </w:tabs>
        <w:rPr>
          <w:szCs w:val="22"/>
        </w:rPr>
      </w:pPr>
    </w:p>
    <w:p w14:paraId="66892972" w14:textId="77777777" w:rsidR="002B5727" w:rsidRPr="00383E22" w:rsidRDefault="002B5727" w:rsidP="002B5727">
      <w:pPr>
        <w:tabs>
          <w:tab w:val="left" w:pos="720"/>
          <w:tab w:val="left" w:pos="1440"/>
        </w:tabs>
        <w:rPr>
          <w:szCs w:val="22"/>
        </w:rPr>
      </w:pPr>
      <w:r w:rsidRPr="00383E22">
        <w:rPr>
          <w:szCs w:val="22"/>
        </w:rPr>
        <w:t>Psi:</w:t>
      </w:r>
    </w:p>
    <w:p w14:paraId="3707F67F" w14:textId="1B92B566" w:rsidR="002B5727" w:rsidRPr="00383E22" w:rsidRDefault="002B5727" w:rsidP="002B5727">
      <w:pPr>
        <w:numPr>
          <w:ilvl w:val="0"/>
          <w:numId w:val="41"/>
        </w:numPr>
        <w:tabs>
          <w:tab w:val="clear" w:pos="567"/>
          <w:tab w:val="left" w:pos="360"/>
          <w:tab w:val="left" w:pos="1440"/>
        </w:tabs>
        <w:spacing w:line="240" w:lineRule="auto"/>
        <w:ind w:left="360"/>
        <w:rPr>
          <w:szCs w:val="22"/>
        </w:rPr>
      </w:pPr>
      <w:r w:rsidRPr="00383E22">
        <w:rPr>
          <w:szCs w:val="22"/>
        </w:rPr>
        <w:t xml:space="preserve">Léčba infikovaných poranění, abscesů a infekcí dutiny ústní/dentálních infekcí </w:t>
      </w:r>
      <w:r w:rsidR="00584833" w:rsidRPr="00383E22">
        <w:rPr>
          <w:szCs w:val="22"/>
        </w:rPr>
        <w:t>vyvolaných</w:t>
      </w:r>
      <w:r w:rsidRPr="00383E22">
        <w:rPr>
          <w:szCs w:val="22"/>
        </w:rPr>
        <w:t xml:space="preserve"> nebo souvisejících s rody </w:t>
      </w:r>
      <w:r w:rsidRPr="00383E22">
        <w:rPr>
          <w:i/>
          <w:szCs w:val="22"/>
        </w:rPr>
        <w:t xml:space="preserve">Staphylococcus </w:t>
      </w:r>
      <w:r w:rsidRPr="00383E22">
        <w:rPr>
          <w:szCs w:val="22"/>
        </w:rPr>
        <w:t xml:space="preserve">spp., </w:t>
      </w:r>
      <w:r w:rsidRPr="00383E22">
        <w:rPr>
          <w:i/>
          <w:szCs w:val="22"/>
        </w:rPr>
        <w:t>Streptococcus</w:t>
      </w:r>
      <w:r w:rsidRPr="00383E22">
        <w:rPr>
          <w:szCs w:val="22"/>
        </w:rPr>
        <w:t xml:space="preserve"> spp., </w:t>
      </w:r>
      <w:r w:rsidRPr="00383E22">
        <w:rPr>
          <w:i/>
          <w:szCs w:val="22"/>
        </w:rPr>
        <w:t xml:space="preserve">Bacteroides </w:t>
      </w:r>
      <w:r w:rsidRPr="00383E22">
        <w:rPr>
          <w:szCs w:val="22"/>
        </w:rPr>
        <w:t xml:space="preserve">spp., druhy </w:t>
      </w:r>
      <w:r w:rsidRPr="00383E22">
        <w:rPr>
          <w:i/>
          <w:szCs w:val="22"/>
        </w:rPr>
        <w:t>Clostridium</w:t>
      </w:r>
      <w:r w:rsidRPr="00383E22">
        <w:rPr>
          <w:szCs w:val="22"/>
        </w:rPr>
        <w:t xml:space="preserve"> </w:t>
      </w:r>
      <w:r w:rsidRPr="00383E22">
        <w:rPr>
          <w:i/>
          <w:szCs w:val="22"/>
        </w:rPr>
        <w:t>perfringens</w:t>
      </w:r>
      <w:r w:rsidRPr="00383E22">
        <w:rPr>
          <w:szCs w:val="22"/>
        </w:rPr>
        <w:t xml:space="preserve"> a </w:t>
      </w:r>
      <w:r w:rsidRPr="00383E22">
        <w:rPr>
          <w:i/>
          <w:szCs w:val="22"/>
        </w:rPr>
        <w:t>Fusobacterium</w:t>
      </w:r>
      <w:r w:rsidRPr="00383E22">
        <w:rPr>
          <w:szCs w:val="22"/>
        </w:rPr>
        <w:t xml:space="preserve"> </w:t>
      </w:r>
      <w:r w:rsidRPr="00383E22">
        <w:rPr>
          <w:i/>
          <w:szCs w:val="22"/>
        </w:rPr>
        <w:t>necrophorum</w:t>
      </w:r>
      <w:r w:rsidRPr="00383E22">
        <w:rPr>
          <w:szCs w:val="22"/>
        </w:rPr>
        <w:t xml:space="preserve">, citlivými </w:t>
      </w:r>
      <w:r w:rsidR="00584833">
        <w:rPr>
          <w:szCs w:val="22"/>
        </w:rPr>
        <w:t>ke</w:t>
      </w:r>
      <w:r w:rsidR="00584833" w:rsidRPr="00383E22">
        <w:rPr>
          <w:szCs w:val="22"/>
        </w:rPr>
        <w:t xml:space="preserve"> </w:t>
      </w:r>
      <w:r w:rsidRPr="00383E22">
        <w:rPr>
          <w:szCs w:val="22"/>
        </w:rPr>
        <w:t>klindamycin</w:t>
      </w:r>
      <w:r w:rsidR="00584833">
        <w:rPr>
          <w:szCs w:val="22"/>
        </w:rPr>
        <w:t>u</w:t>
      </w:r>
      <w:r w:rsidRPr="00383E22">
        <w:rPr>
          <w:szCs w:val="22"/>
        </w:rPr>
        <w:t>.</w:t>
      </w:r>
    </w:p>
    <w:p w14:paraId="4788382F" w14:textId="6645BDFA" w:rsidR="002B5727" w:rsidRPr="00383E22" w:rsidRDefault="002B5727" w:rsidP="002B5727">
      <w:pPr>
        <w:numPr>
          <w:ilvl w:val="0"/>
          <w:numId w:val="41"/>
        </w:numPr>
        <w:tabs>
          <w:tab w:val="clear" w:pos="567"/>
          <w:tab w:val="left" w:pos="360"/>
          <w:tab w:val="left" w:pos="1440"/>
        </w:tabs>
        <w:spacing w:line="240" w:lineRule="auto"/>
        <w:ind w:left="360"/>
        <w:rPr>
          <w:szCs w:val="22"/>
        </w:rPr>
      </w:pPr>
      <w:r w:rsidRPr="00383E22">
        <w:rPr>
          <w:szCs w:val="22"/>
        </w:rPr>
        <w:t xml:space="preserve">Podpůrná léčba </w:t>
      </w:r>
      <w:r w:rsidR="001B323F" w:rsidRPr="001B323F">
        <w:rPr>
          <w:szCs w:val="22"/>
        </w:rPr>
        <w:t>při mechanické nebo chirurgické periodontální terapii</w:t>
      </w:r>
      <w:r w:rsidR="001B323F">
        <w:rPr>
          <w:szCs w:val="22"/>
        </w:rPr>
        <w:t xml:space="preserve"> </w:t>
      </w:r>
      <w:r w:rsidRPr="00383E22">
        <w:rPr>
          <w:szCs w:val="22"/>
        </w:rPr>
        <w:t>infekcí tkání dásní a periodontu.</w:t>
      </w:r>
    </w:p>
    <w:p w14:paraId="4FE038F1" w14:textId="1C961B4E" w:rsidR="002B5727" w:rsidRPr="00383E22" w:rsidRDefault="002B5727" w:rsidP="002B5727">
      <w:pPr>
        <w:numPr>
          <w:ilvl w:val="0"/>
          <w:numId w:val="41"/>
        </w:numPr>
        <w:tabs>
          <w:tab w:val="clear" w:pos="567"/>
          <w:tab w:val="left" w:pos="360"/>
          <w:tab w:val="left" w:pos="1440"/>
        </w:tabs>
        <w:spacing w:line="240" w:lineRule="auto"/>
        <w:ind w:left="360"/>
        <w:rPr>
          <w:szCs w:val="22"/>
        </w:rPr>
      </w:pPr>
      <w:r w:rsidRPr="00383E22">
        <w:rPr>
          <w:szCs w:val="22"/>
        </w:rPr>
        <w:t xml:space="preserve">Léčba osteomyelitidy </w:t>
      </w:r>
      <w:r w:rsidR="00584833">
        <w:rPr>
          <w:szCs w:val="22"/>
        </w:rPr>
        <w:t>vyvolané</w:t>
      </w:r>
      <w:r w:rsidR="00584833" w:rsidRPr="00383E22">
        <w:rPr>
          <w:szCs w:val="22"/>
        </w:rPr>
        <w:t xml:space="preserve"> </w:t>
      </w:r>
      <w:r w:rsidRPr="00383E22">
        <w:rPr>
          <w:i/>
          <w:szCs w:val="22"/>
        </w:rPr>
        <w:t>Staphylococcus</w:t>
      </w:r>
      <w:r w:rsidRPr="00383E22">
        <w:rPr>
          <w:szCs w:val="22"/>
        </w:rPr>
        <w:t xml:space="preserve"> </w:t>
      </w:r>
      <w:r w:rsidRPr="00383E22">
        <w:rPr>
          <w:i/>
          <w:szCs w:val="22"/>
        </w:rPr>
        <w:t>aureus</w:t>
      </w:r>
      <w:r w:rsidRPr="00383E22">
        <w:rPr>
          <w:szCs w:val="22"/>
        </w:rPr>
        <w:t>.</w:t>
      </w:r>
    </w:p>
    <w:p w14:paraId="45A9E78C" w14:textId="77777777" w:rsidR="00E86CEE" w:rsidRPr="00383E22" w:rsidRDefault="00E86CEE" w:rsidP="00145C3F">
      <w:pPr>
        <w:tabs>
          <w:tab w:val="clear" w:pos="567"/>
        </w:tabs>
        <w:spacing w:line="240" w:lineRule="auto"/>
        <w:rPr>
          <w:szCs w:val="22"/>
        </w:rPr>
      </w:pPr>
    </w:p>
    <w:p w14:paraId="2224B702" w14:textId="77777777" w:rsidR="00C114FF" w:rsidRPr="00383E22" w:rsidRDefault="0081532F" w:rsidP="005E005F">
      <w:pPr>
        <w:pStyle w:val="Style1"/>
        <w:keepNext/>
      </w:pPr>
      <w:r w:rsidRPr="00383E22">
        <w:lastRenderedPageBreak/>
        <w:t>3.3</w:t>
      </w:r>
      <w:r w:rsidRPr="00383E22">
        <w:tab/>
        <w:t>Kontraindikace</w:t>
      </w:r>
    </w:p>
    <w:p w14:paraId="405A31FC" w14:textId="77777777" w:rsidR="002B5727" w:rsidRPr="00383E22" w:rsidRDefault="002B5727" w:rsidP="005E005F">
      <w:pPr>
        <w:keepNext/>
        <w:jc w:val="both"/>
        <w:rPr>
          <w:szCs w:val="22"/>
        </w:rPr>
      </w:pPr>
    </w:p>
    <w:p w14:paraId="24AF14B5" w14:textId="45A24000" w:rsidR="002B5727" w:rsidRPr="00383E22" w:rsidRDefault="001B323F" w:rsidP="002B5727">
      <w:pPr>
        <w:jc w:val="both"/>
        <w:rPr>
          <w:szCs w:val="22"/>
        </w:rPr>
      </w:pPr>
      <w:r w:rsidRPr="00383E22">
        <w:rPr>
          <w:szCs w:val="22"/>
        </w:rPr>
        <w:t>Nepouží</w:t>
      </w:r>
      <w:r>
        <w:rPr>
          <w:szCs w:val="22"/>
        </w:rPr>
        <w:t>vat</w:t>
      </w:r>
      <w:r w:rsidRPr="00383E22">
        <w:rPr>
          <w:szCs w:val="22"/>
        </w:rPr>
        <w:t xml:space="preserve"> </w:t>
      </w:r>
      <w:r w:rsidR="002B5727" w:rsidRPr="00383E22">
        <w:rPr>
          <w:szCs w:val="22"/>
        </w:rPr>
        <w:t>u králíků, křečků, morčat, činčil, koní ani přežvýkavců, protože požití klindamycin</w:t>
      </w:r>
      <w:r>
        <w:rPr>
          <w:szCs w:val="22"/>
        </w:rPr>
        <w:t>u</w:t>
      </w:r>
      <w:r w:rsidR="002B5727" w:rsidRPr="00383E22">
        <w:rPr>
          <w:szCs w:val="22"/>
        </w:rPr>
        <w:t xml:space="preserve"> těmito druhy </w:t>
      </w:r>
      <w:r>
        <w:rPr>
          <w:szCs w:val="22"/>
        </w:rPr>
        <w:t xml:space="preserve">zvířat </w:t>
      </w:r>
      <w:r w:rsidR="002B5727" w:rsidRPr="00383E22">
        <w:rPr>
          <w:szCs w:val="22"/>
        </w:rPr>
        <w:t>může vést k závažným gastrointestinálním poruchám, které mohou být někdy smrtelné.</w:t>
      </w:r>
    </w:p>
    <w:p w14:paraId="02C740A7" w14:textId="77777777" w:rsidR="002B5727" w:rsidRPr="00383E22" w:rsidRDefault="002B5727" w:rsidP="002B5727">
      <w:pPr>
        <w:jc w:val="both"/>
        <w:rPr>
          <w:szCs w:val="22"/>
        </w:rPr>
      </w:pPr>
    </w:p>
    <w:p w14:paraId="6BBA1CB2" w14:textId="7C7E1078" w:rsidR="002B5727" w:rsidRPr="00383E22" w:rsidRDefault="001B323F" w:rsidP="002B5727">
      <w:pPr>
        <w:jc w:val="both"/>
        <w:rPr>
          <w:b/>
          <w:szCs w:val="22"/>
        </w:rPr>
      </w:pPr>
      <w:r w:rsidRPr="00383E22">
        <w:rPr>
          <w:szCs w:val="22"/>
        </w:rPr>
        <w:t>Nepoužív</w:t>
      </w:r>
      <w:r>
        <w:rPr>
          <w:szCs w:val="22"/>
        </w:rPr>
        <w:t>at</w:t>
      </w:r>
      <w:r w:rsidRPr="00383E22">
        <w:rPr>
          <w:szCs w:val="22"/>
        </w:rPr>
        <w:t xml:space="preserve"> </w:t>
      </w:r>
      <w:r w:rsidR="002B5727" w:rsidRPr="00383E22">
        <w:rPr>
          <w:szCs w:val="22"/>
        </w:rPr>
        <w:t>v případě přecitlivělosti na klindamycin nebo linkomycin nebo na jakoukoli z pomocných látek.</w:t>
      </w:r>
    </w:p>
    <w:p w14:paraId="54C2FA76" w14:textId="77777777" w:rsidR="00C114FF" w:rsidRPr="00383E22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70F6F03" w14:textId="77777777" w:rsidR="00C114FF" w:rsidRPr="00383E22" w:rsidRDefault="0081532F" w:rsidP="00B13B6D">
      <w:pPr>
        <w:pStyle w:val="Style1"/>
      </w:pPr>
      <w:r w:rsidRPr="00383E22">
        <w:t>3.4</w:t>
      </w:r>
      <w:r w:rsidRPr="00383E22">
        <w:tab/>
        <w:t>Zvláštní upozornění</w:t>
      </w:r>
    </w:p>
    <w:p w14:paraId="0622A062" w14:textId="77777777" w:rsidR="00C114FF" w:rsidRPr="00383E22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19BC5AB7" w14:textId="53489203" w:rsidR="002B5727" w:rsidRPr="00383E22" w:rsidRDefault="002B5727" w:rsidP="002B5727">
      <w:pPr>
        <w:jc w:val="both"/>
        <w:rPr>
          <w:szCs w:val="22"/>
        </w:rPr>
      </w:pPr>
      <w:r w:rsidRPr="00383E22">
        <w:rPr>
          <w:szCs w:val="22"/>
        </w:rPr>
        <w:t>Nejsou.</w:t>
      </w:r>
    </w:p>
    <w:p w14:paraId="7D798E15" w14:textId="77777777" w:rsidR="00E86CEE" w:rsidRPr="00383E22" w:rsidRDefault="00E86CEE">
      <w:pPr>
        <w:tabs>
          <w:tab w:val="clear" w:pos="567"/>
        </w:tabs>
        <w:spacing w:line="240" w:lineRule="auto"/>
        <w:rPr>
          <w:szCs w:val="22"/>
        </w:rPr>
      </w:pPr>
    </w:p>
    <w:p w14:paraId="3B4CC7AC" w14:textId="77777777" w:rsidR="00C114FF" w:rsidRPr="00383E22" w:rsidRDefault="0081532F" w:rsidP="00B13B6D">
      <w:pPr>
        <w:pStyle w:val="Style1"/>
      </w:pPr>
      <w:r w:rsidRPr="00383E22">
        <w:t>3.5</w:t>
      </w:r>
      <w:r w:rsidRPr="00383E22">
        <w:tab/>
        <w:t>Zvláštní opatření pro použití</w:t>
      </w:r>
    </w:p>
    <w:p w14:paraId="0B94D7B2" w14:textId="77777777" w:rsidR="00C114FF" w:rsidRPr="00383E22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682382B5" w14:textId="77777777" w:rsidR="00C114FF" w:rsidRPr="00383E22" w:rsidRDefault="0081532F" w:rsidP="00BF00EF">
      <w:pPr>
        <w:tabs>
          <w:tab w:val="clear" w:pos="567"/>
        </w:tabs>
        <w:spacing w:line="240" w:lineRule="auto"/>
        <w:rPr>
          <w:szCs w:val="22"/>
          <w:u w:val="single"/>
        </w:rPr>
      </w:pPr>
      <w:r w:rsidRPr="00383E22">
        <w:rPr>
          <w:szCs w:val="22"/>
          <w:u w:val="single"/>
        </w:rPr>
        <w:t>Zvláštní opatření pro bezpečné použití u cílových druhů zvířat:</w:t>
      </w:r>
    </w:p>
    <w:p w14:paraId="355A38B0" w14:textId="77777777" w:rsidR="00C114FF" w:rsidRPr="00383E22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4F162539" w14:textId="0B4ACEF2" w:rsidR="002B5727" w:rsidRPr="00383E22" w:rsidRDefault="002B5727" w:rsidP="002B5727">
      <w:pPr>
        <w:autoSpaceDE w:val="0"/>
        <w:autoSpaceDN w:val="0"/>
        <w:adjustRightInd w:val="0"/>
        <w:spacing w:line="240" w:lineRule="atLeast"/>
        <w:jc w:val="both"/>
        <w:rPr>
          <w:color w:val="0000FF"/>
          <w:szCs w:val="22"/>
        </w:rPr>
      </w:pPr>
      <w:r w:rsidRPr="00383E22">
        <w:rPr>
          <w:szCs w:val="22"/>
        </w:rPr>
        <w:t xml:space="preserve">Nevhodné používání tohoto </w:t>
      </w:r>
      <w:r w:rsidR="001B323F">
        <w:rPr>
          <w:szCs w:val="22"/>
        </w:rPr>
        <w:t xml:space="preserve">veterinárního léčivého </w:t>
      </w:r>
      <w:r w:rsidRPr="00383E22">
        <w:rPr>
          <w:szCs w:val="22"/>
        </w:rPr>
        <w:t xml:space="preserve">přípravku může zvýšit prevalenci bakterií </w:t>
      </w:r>
      <w:r w:rsidR="001B323F" w:rsidRPr="001B323F">
        <w:rPr>
          <w:szCs w:val="22"/>
        </w:rPr>
        <w:t xml:space="preserve">rezistentních </w:t>
      </w:r>
      <w:r w:rsidR="00287FC5">
        <w:rPr>
          <w:szCs w:val="22"/>
        </w:rPr>
        <w:t>vůči</w:t>
      </w:r>
      <w:r w:rsidR="001B323F" w:rsidRPr="001B323F">
        <w:rPr>
          <w:szCs w:val="22"/>
        </w:rPr>
        <w:t xml:space="preserve"> klindamycinu</w:t>
      </w:r>
      <w:r w:rsidRPr="00383E22">
        <w:rPr>
          <w:szCs w:val="22"/>
        </w:rPr>
        <w:t xml:space="preserve">.  </w:t>
      </w:r>
    </w:p>
    <w:p w14:paraId="1F9ED39A" w14:textId="7FCA28FD" w:rsidR="002B5727" w:rsidRPr="00383E22" w:rsidRDefault="002B5727" w:rsidP="002B5727">
      <w:pPr>
        <w:autoSpaceDE w:val="0"/>
        <w:autoSpaceDN w:val="0"/>
        <w:adjustRightInd w:val="0"/>
        <w:spacing w:line="240" w:lineRule="atLeast"/>
        <w:jc w:val="both"/>
        <w:rPr>
          <w:color w:val="000000" w:themeColor="text1"/>
          <w:szCs w:val="22"/>
        </w:rPr>
      </w:pPr>
      <w:r w:rsidRPr="00383E22">
        <w:rPr>
          <w:color w:val="000000" w:themeColor="text1"/>
          <w:szCs w:val="22"/>
        </w:rPr>
        <w:t xml:space="preserve">Použití klindamycinu by mělo být vždy, </w:t>
      </w:r>
      <w:r w:rsidR="001B323F">
        <w:rPr>
          <w:color w:val="000000" w:themeColor="text1"/>
          <w:szCs w:val="22"/>
        </w:rPr>
        <w:t>kdy</w:t>
      </w:r>
      <w:r w:rsidR="001B323F" w:rsidRPr="00383E22">
        <w:rPr>
          <w:color w:val="000000" w:themeColor="text1"/>
          <w:szCs w:val="22"/>
        </w:rPr>
        <w:t xml:space="preserve"> </w:t>
      </w:r>
      <w:r w:rsidRPr="00383E22">
        <w:rPr>
          <w:color w:val="000000" w:themeColor="text1"/>
          <w:szCs w:val="22"/>
        </w:rPr>
        <w:t xml:space="preserve">je to možné, založeno na výsledku </w:t>
      </w:r>
      <w:r w:rsidR="001B323F">
        <w:rPr>
          <w:color w:val="000000" w:themeColor="text1"/>
          <w:szCs w:val="22"/>
        </w:rPr>
        <w:t>stanovení</w:t>
      </w:r>
      <w:r w:rsidRPr="00383E22">
        <w:rPr>
          <w:color w:val="000000" w:themeColor="text1"/>
          <w:szCs w:val="22"/>
        </w:rPr>
        <w:t xml:space="preserve"> citlivosti. </w:t>
      </w:r>
    </w:p>
    <w:p w14:paraId="2B2870E5" w14:textId="26FBFF9A" w:rsidR="002B5727" w:rsidRPr="00383E22" w:rsidRDefault="002B5727" w:rsidP="002B5727">
      <w:pPr>
        <w:jc w:val="both"/>
        <w:rPr>
          <w:color w:val="000000" w:themeColor="text1"/>
          <w:szCs w:val="22"/>
        </w:rPr>
      </w:pPr>
      <w:r w:rsidRPr="00383E22">
        <w:rPr>
          <w:color w:val="000000" w:themeColor="text1"/>
          <w:szCs w:val="22"/>
        </w:rPr>
        <w:t xml:space="preserve">Při použití </w:t>
      </w:r>
      <w:r w:rsidR="00C20B9C">
        <w:rPr>
          <w:szCs w:val="22"/>
        </w:rPr>
        <w:t>veterinárního léčivého</w:t>
      </w:r>
      <w:r w:rsidR="00C20B9C" w:rsidRPr="00383E22">
        <w:rPr>
          <w:color w:val="000000" w:themeColor="text1"/>
          <w:szCs w:val="22"/>
        </w:rPr>
        <w:t xml:space="preserve"> </w:t>
      </w:r>
      <w:r w:rsidRPr="00383E22">
        <w:rPr>
          <w:color w:val="000000" w:themeColor="text1"/>
          <w:szCs w:val="22"/>
        </w:rPr>
        <w:t xml:space="preserve">přípravku je nutno vzít v úvahu oficiální celostátní a místní pravidla antibiotické politiky. </w:t>
      </w:r>
    </w:p>
    <w:p w14:paraId="35F77C61" w14:textId="77777777" w:rsidR="002B5727" w:rsidRPr="00383E22" w:rsidRDefault="002B5727" w:rsidP="002B5727">
      <w:pPr>
        <w:jc w:val="both"/>
        <w:rPr>
          <w:color w:val="000000" w:themeColor="text1"/>
          <w:szCs w:val="22"/>
        </w:rPr>
      </w:pPr>
    </w:p>
    <w:p w14:paraId="497FD2A3" w14:textId="6743FAC0" w:rsidR="002B5727" w:rsidRPr="00383E22" w:rsidRDefault="002B5727" w:rsidP="002B5727">
      <w:pPr>
        <w:jc w:val="both"/>
        <w:rPr>
          <w:szCs w:val="22"/>
        </w:rPr>
      </w:pPr>
      <w:r w:rsidRPr="00383E22">
        <w:rPr>
          <w:color w:val="000000" w:themeColor="text1"/>
          <w:szCs w:val="22"/>
        </w:rPr>
        <w:t>Klindamycin vykazuje zkříženou rezistenci s linkomycinem a ko-rezistenci s erythromycinem</w:t>
      </w:r>
      <w:r w:rsidRPr="00383E22">
        <w:rPr>
          <w:szCs w:val="22"/>
        </w:rPr>
        <w:t>.  Existuje částečná zkřížená rezistence s erythromycinem a jinými makrolidy.</w:t>
      </w:r>
    </w:p>
    <w:p w14:paraId="47C0A210" w14:textId="099369F3" w:rsidR="002B5727" w:rsidRPr="00383E22" w:rsidRDefault="002B5727" w:rsidP="002B5727">
      <w:pPr>
        <w:jc w:val="both"/>
        <w:rPr>
          <w:szCs w:val="22"/>
        </w:rPr>
      </w:pPr>
      <w:r w:rsidRPr="00383E22">
        <w:rPr>
          <w:szCs w:val="22"/>
        </w:rPr>
        <w:t xml:space="preserve">V případě podávání vysokých dávek klindamycinu nebo během delší léčby trvající měsíc nebo déle, je nutno pravidelně provádět </w:t>
      </w:r>
      <w:r w:rsidR="00C20B9C">
        <w:rPr>
          <w:szCs w:val="22"/>
        </w:rPr>
        <w:t>vyšetření</w:t>
      </w:r>
      <w:r w:rsidR="00C20B9C" w:rsidRPr="00383E22">
        <w:rPr>
          <w:szCs w:val="22"/>
        </w:rPr>
        <w:t xml:space="preserve"> </w:t>
      </w:r>
      <w:r w:rsidRPr="00383E22">
        <w:rPr>
          <w:szCs w:val="22"/>
        </w:rPr>
        <w:t>jaterních a renálních funkcí a krevní obraz.</w:t>
      </w:r>
    </w:p>
    <w:p w14:paraId="55181DCA" w14:textId="77777777" w:rsidR="002B5727" w:rsidRPr="00383E22" w:rsidRDefault="002B5727" w:rsidP="002B5727">
      <w:pPr>
        <w:jc w:val="both"/>
        <w:rPr>
          <w:szCs w:val="22"/>
        </w:rPr>
      </w:pPr>
    </w:p>
    <w:p w14:paraId="44161A67" w14:textId="02E0D061" w:rsidR="002B5727" w:rsidRPr="00383E22" w:rsidRDefault="002B5727" w:rsidP="002B5727">
      <w:pPr>
        <w:jc w:val="both"/>
        <w:rPr>
          <w:szCs w:val="22"/>
        </w:rPr>
      </w:pPr>
      <w:r w:rsidRPr="00383E22">
        <w:rPr>
          <w:szCs w:val="22"/>
        </w:rPr>
        <w:t xml:space="preserve">U psů a koček s </w:t>
      </w:r>
      <w:r w:rsidR="00C20B9C" w:rsidRPr="00C20B9C">
        <w:rPr>
          <w:szCs w:val="22"/>
        </w:rPr>
        <w:t>poruchami funkce ledvin a/nebo jater</w:t>
      </w:r>
      <w:r w:rsidR="00C20B9C" w:rsidRPr="00C20B9C" w:rsidDel="00C20B9C">
        <w:rPr>
          <w:szCs w:val="22"/>
        </w:rPr>
        <w:t xml:space="preserve"> </w:t>
      </w:r>
      <w:r w:rsidRPr="00383E22">
        <w:rPr>
          <w:szCs w:val="22"/>
        </w:rPr>
        <w:t xml:space="preserve">doprovázenými závažnými metabolickými </w:t>
      </w:r>
      <w:r w:rsidR="007D1207">
        <w:rPr>
          <w:szCs w:val="22"/>
        </w:rPr>
        <w:t>odchylkami</w:t>
      </w:r>
      <w:r w:rsidRPr="00383E22">
        <w:rPr>
          <w:szCs w:val="22"/>
        </w:rPr>
        <w:t xml:space="preserve"> je nutno pečlivě určit podávané dávky a monitorovat zdravotní stav prováděním </w:t>
      </w:r>
      <w:r w:rsidR="00DD432E">
        <w:rPr>
          <w:szCs w:val="22"/>
        </w:rPr>
        <w:t>vyšetření</w:t>
      </w:r>
      <w:r w:rsidR="00DD432E" w:rsidRPr="00383E22">
        <w:rPr>
          <w:szCs w:val="22"/>
        </w:rPr>
        <w:t xml:space="preserve"> </w:t>
      </w:r>
      <w:r w:rsidRPr="00383E22">
        <w:rPr>
          <w:szCs w:val="22"/>
        </w:rPr>
        <w:t>krevního séra během léčby.</w:t>
      </w:r>
    </w:p>
    <w:p w14:paraId="1EFFAC0D" w14:textId="6510C0B8" w:rsidR="002B5727" w:rsidRPr="00383E22" w:rsidRDefault="002B5727" w:rsidP="002B5727">
      <w:pPr>
        <w:jc w:val="both"/>
        <w:rPr>
          <w:bCs/>
          <w:i/>
          <w:szCs w:val="22"/>
        </w:rPr>
      </w:pPr>
      <w:r w:rsidRPr="00383E22">
        <w:rPr>
          <w:szCs w:val="22"/>
        </w:rPr>
        <w:t xml:space="preserve">Nedoporučuje se používat tento </w:t>
      </w:r>
      <w:r w:rsidR="00287FC5">
        <w:rPr>
          <w:szCs w:val="22"/>
        </w:rPr>
        <w:t xml:space="preserve">veterinární léčivý </w:t>
      </w:r>
      <w:r w:rsidRPr="00383E22">
        <w:rPr>
          <w:szCs w:val="22"/>
        </w:rPr>
        <w:t>přípravek u novorozených zvířat.</w:t>
      </w:r>
    </w:p>
    <w:p w14:paraId="51781EE7" w14:textId="77777777" w:rsidR="002B5727" w:rsidRPr="00383E22" w:rsidRDefault="002B5727" w:rsidP="002B5727">
      <w:pPr>
        <w:tabs>
          <w:tab w:val="left" w:pos="5400"/>
        </w:tabs>
        <w:ind w:hanging="720"/>
        <w:jc w:val="both"/>
        <w:rPr>
          <w:b/>
          <w:szCs w:val="22"/>
        </w:rPr>
      </w:pPr>
    </w:p>
    <w:p w14:paraId="18F04330" w14:textId="77777777" w:rsidR="002B5727" w:rsidRPr="00383E22" w:rsidRDefault="002B5727" w:rsidP="002B5727">
      <w:pPr>
        <w:tabs>
          <w:tab w:val="clear" w:pos="567"/>
        </w:tabs>
        <w:spacing w:line="240" w:lineRule="auto"/>
        <w:rPr>
          <w:szCs w:val="22"/>
          <w:u w:val="single"/>
        </w:rPr>
      </w:pPr>
      <w:r w:rsidRPr="00383E22">
        <w:rPr>
          <w:szCs w:val="22"/>
          <w:u w:val="single"/>
        </w:rPr>
        <w:t>Zvláštní opatření pro osobu, která podává veterinární léčivý přípravek zvířatům:</w:t>
      </w:r>
    </w:p>
    <w:p w14:paraId="44527A1C" w14:textId="77777777" w:rsidR="002B5727" w:rsidRPr="00383E22" w:rsidRDefault="002B5727" w:rsidP="002B5727">
      <w:pPr>
        <w:rPr>
          <w:szCs w:val="22"/>
        </w:rPr>
      </w:pPr>
    </w:p>
    <w:p w14:paraId="0D59DABB" w14:textId="653BDB21" w:rsidR="002B5727" w:rsidRPr="00383E22" w:rsidRDefault="002B5727" w:rsidP="002B5727">
      <w:pPr>
        <w:rPr>
          <w:szCs w:val="22"/>
        </w:rPr>
      </w:pPr>
      <w:r w:rsidRPr="00383E22">
        <w:rPr>
          <w:szCs w:val="22"/>
        </w:rPr>
        <w:t xml:space="preserve">Po podání si umyjte ruce.  </w:t>
      </w:r>
    </w:p>
    <w:p w14:paraId="4B28F5AD" w14:textId="77777777" w:rsidR="002B5727" w:rsidRPr="00383E22" w:rsidRDefault="002B5727" w:rsidP="002B5727">
      <w:pPr>
        <w:rPr>
          <w:szCs w:val="22"/>
        </w:rPr>
      </w:pPr>
      <w:r w:rsidRPr="00383E22">
        <w:rPr>
          <w:szCs w:val="22"/>
        </w:rPr>
        <w:t>Lidé se známou přecitlivělostí na lincosamidy (linkomycin a klindamycin) by se měli vyhnout kontaktu s veterinárním léčivým přípravkem.</w:t>
      </w:r>
    </w:p>
    <w:p w14:paraId="7D65BB18" w14:textId="05A6CB72" w:rsidR="002B5727" w:rsidRPr="00383E22" w:rsidRDefault="002B5727" w:rsidP="002B5727">
      <w:pPr>
        <w:tabs>
          <w:tab w:val="left" w:pos="720"/>
        </w:tabs>
        <w:ind w:hanging="1440"/>
        <w:rPr>
          <w:szCs w:val="22"/>
        </w:rPr>
      </w:pPr>
      <w:r w:rsidRPr="00383E22">
        <w:rPr>
          <w:szCs w:val="22"/>
        </w:rPr>
        <w:tab/>
        <w:t>V případě náhodného po</w:t>
      </w:r>
      <w:r w:rsidR="00CC7F70">
        <w:rPr>
          <w:szCs w:val="22"/>
        </w:rPr>
        <w:t>žití</w:t>
      </w:r>
      <w:r w:rsidRPr="00383E22">
        <w:rPr>
          <w:szCs w:val="22"/>
        </w:rPr>
        <w:t xml:space="preserve"> vyhledejte ihned lékařskou pomoc a ukažte příbalovou informaci nebo etiketu praktickému lékaři. </w:t>
      </w:r>
    </w:p>
    <w:p w14:paraId="42C79256" w14:textId="77777777" w:rsidR="002B5727" w:rsidRPr="00383E22" w:rsidRDefault="002B5727" w:rsidP="002B5727">
      <w:pPr>
        <w:tabs>
          <w:tab w:val="left" w:pos="720"/>
        </w:tabs>
        <w:ind w:hanging="1440"/>
        <w:rPr>
          <w:szCs w:val="22"/>
        </w:rPr>
      </w:pPr>
    </w:p>
    <w:p w14:paraId="10B0B0E9" w14:textId="6AD77C5A" w:rsidR="002B5727" w:rsidRPr="00383E22" w:rsidRDefault="005E005F" w:rsidP="005E005F">
      <w:pPr>
        <w:keepNext/>
        <w:tabs>
          <w:tab w:val="left" w:pos="720"/>
        </w:tabs>
        <w:rPr>
          <w:szCs w:val="22"/>
        </w:rPr>
      </w:pPr>
      <w:r>
        <w:rPr>
          <w:szCs w:val="22"/>
          <w:u w:val="single"/>
        </w:rPr>
        <w:t>Zvláštní opatření pro ochranu životního prostředí</w:t>
      </w:r>
      <w:r w:rsidR="002B5727" w:rsidRPr="00383E22">
        <w:rPr>
          <w:szCs w:val="22"/>
        </w:rPr>
        <w:t>:</w:t>
      </w:r>
    </w:p>
    <w:p w14:paraId="18B7F997" w14:textId="77777777" w:rsidR="002B5727" w:rsidRPr="00383E22" w:rsidRDefault="002B5727" w:rsidP="005E005F">
      <w:pPr>
        <w:keepNext/>
        <w:tabs>
          <w:tab w:val="left" w:pos="720"/>
        </w:tabs>
        <w:rPr>
          <w:szCs w:val="22"/>
        </w:rPr>
      </w:pPr>
    </w:p>
    <w:p w14:paraId="792CBFB6" w14:textId="67CA7268" w:rsidR="002B5727" w:rsidRPr="00383E22" w:rsidRDefault="005E005F" w:rsidP="002B5727">
      <w:pPr>
        <w:tabs>
          <w:tab w:val="left" w:pos="720"/>
        </w:tabs>
        <w:rPr>
          <w:b/>
          <w:bCs/>
          <w:szCs w:val="22"/>
        </w:rPr>
      </w:pPr>
      <w:r>
        <w:rPr>
          <w:szCs w:val="22"/>
        </w:rPr>
        <w:t>Neuplatňuje se.</w:t>
      </w:r>
    </w:p>
    <w:p w14:paraId="309A1DB9" w14:textId="15109CE4" w:rsidR="00295140" w:rsidRPr="00383E22" w:rsidRDefault="00295140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37314DB" w14:textId="77777777" w:rsidR="00C114FF" w:rsidRPr="00383E22" w:rsidRDefault="0081532F" w:rsidP="00B13B6D">
      <w:pPr>
        <w:pStyle w:val="Style1"/>
      </w:pPr>
      <w:r w:rsidRPr="00383E22">
        <w:t>3.6</w:t>
      </w:r>
      <w:r w:rsidRPr="00383E22">
        <w:tab/>
        <w:t>Nežádoucí účinky</w:t>
      </w:r>
    </w:p>
    <w:p w14:paraId="10F3D673" w14:textId="77777777" w:rsidR="00295140" w:rsidRPr="00383E22" w:rsidRDefault="00295140" w:rsidP="00AD0710">
      <w:pPr>
        <w:tabs>
          <w:tab w:val="clear" w:pos="567"/>
        </w:tabs>
        <w:spacing w:line="240" w:lineRule="auto"/>
        <w:rPr>
          <w:szCs w:val="22"/>
        </w:rPr>
      </w:pPr>
    </w:p>
    <w:p w14:paraId="59D812F7" w14:textId="1B00751F" w:rsidR="002B5727" w:rsidRPr="00383E22" w:rsidRDefault="002B5727" w:rsidP="002B5727">
      <w:pPr>
        <w:ind w:left="4500" w:hanging="4500"/>
        <w:jc w:val="both"/>
        <w:rPr>
          <w:szCs w:val="22"/>
        </w:rPr>
      </w:pPr>
      <w:r w:rsidRPr="00383E22">
        <w:rPr>
          <w:szCs w:val="22"/>
        </w:rPr>
        <w:t>Kočky a psi:</w:t>
      </w:r>
    </w:p>
    <w:p w14:paraId="669C145E" w14:textId="77777777" w:rsidR="00295140" w:rsidRPr="00383E22" w:rsidRDefault="00295140" w:rsidP="00295140">
      <w:pPr>
        <w:rPr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6"/>
        <w:gridCol w:w="5515"/>
      </w:tblGrid>
      <w:tr w:rsidR="00385A69" w:rsidRPr="00383E22" w14:paraId="2A97D209" w14:textId="77777777" w:rsidTr="00617B81">
        <w:tc>
          <w:tcPr>
            <w:tcW w:w="1957" w:type="pct"/>
          </w:tcPr>
          <w:p w14:paraId="5D574AED" w14:textId="77777777" w:rsidR="00295140" w:rsidRPr="00383E22" w:rsidRDefault="0081532F" w:rsidP="00617B81">
            <w:pPr>
              <w:spacing w:before="60" w:after="60"/>
              <w:rPr>
                <w:szCs w:val="22"/>
              </w:rPr>
            </w:pPr>
            <w:r w:rsidRPr="00383E22">
              <w:rPr>
                <w:szCs w:val="22"/>
              </w:rPr>
              <w:t>Velmi vzácné</w:t>
            </w:r>
          </w:p>
          <w:p w14:paraId="78E246FA" w14:textId="08148C55" w:rsidR="00295140" w:rsidRPr="00383E22" w:rsidRDefault="0081532F" w:rsidP="00617B81">
            <w:pPr>
              <w:spacing w:before="60" w:after="60"/>
              <w:rPr>
                <w:szCs w:val="22"/>
              </w:rPr>
            </w:pPr>
            <w:r w:rsidRPr="00383E22">
              <w:rPr>
                <w:szCs w:val="22"/>
              </w:rPr>
              <w:t>(&lt;1</w:t>
            </w:r>
            <w:r w:rsidR="00BB6835" w:rsidRPr="00383E22">
              <w:rPr>
                <w:szCs w:val="22"/>
              </w:rPr>
              <w:t> zvíře / 10 000 ošetřených zvířat, včetně ojedinělých hlášení):</w:t>
            </w:r>
          </w:p>
        </w:tc>
        <w:tc>
          <w:tcPr>
            <w:tcW w:w="3043" w:type="pct"/>
            <w:hideMark/>
          </w:tcPr>
          <w:p w14:paraId="3C84A8B0" w14:textId="77777777" w:rsidR="00295140" w:rsidRPr="00383E22" w:rsidRDefault="00FC303C" w:rsidP="00617B81">
            <w:pPr>
              <w:spacing w:before="60" w:after="60"/>
              <w:rPr>
                <w:iCs/>
                <w:szCs w:val="22"/>
              </w:rPr>
            </w:pPr>
            <w:r w:rsidRPr="00383E22">
              <w:rPr>
                <w:iCs/>
                <w:szCs w:val="22"/>
              </w:rPr>
              <w:t>Letargie</w:t>
            </w:r>
          </w:p>
          <w:p w14:paraId="1BC9DFB5" w14:textId="343ABEF2" w:rsidR="00FC303C" w:rsidRPr="00383E22" w:rsidRDefault="00042E6C" w:rsidP="00617B81">
            <w:pPr>
              <w:spacing w:before="60" w:after="60"/>
              <w:rPr>
                <w:iCs/>
                <w:szCs w:val="22"/>
              </w:rPr>
            </w:pPr>
            <w:r>
              <w:rPr>
                <w:iCs/>
                <w:szCs w:val="22"/>
              </w:rPr>
              <w:t>Z</w:t>
            </w:r>
            <w:r w:rsidR="00FC303C" w:rsidRPr="00383E22">
              <w:rPr>
                <w:iCs/>
                <w:szCs w:val="22"/>
              </w:rPr>
              <w:t xml:space="preserve">vracení, </w:t>
            </w:r>
            <w:r>
              <w:rPr>
                <w:iCs/>
                <w:szCs w:val="22"/>
              </w:rPr>
              <w:t>P</w:t>
            </w:r>
            <w:r w:rsidR="00FC303C" w:rsidRPr="00383E22">
              <w:rPr>
                <w:iCs/>
                <w:szCs w:val="22"/>
              </w:rPr>
              <w:t>růjem</w:t>
            </w:r>
          </w:p>
        </w:tc>
      </w:tr>
    </w:tbl>
    <w:p w14:paraId="1D616E5A" w14:textId="55E26176" w:rsidR="00295140" w:rsidRPr="00383E22" w:rsidRDefault="00295140" w:rsidP="00AD0710">
      <w:pPr>
        <w:tabs>
          <w:tab w:val="clear" w:pos="567"/>
        </w:tabs>
        <w:spacing w:line="240" w:lineRule="auto"/>
        <w:rPr>
          <w:szCs w:val="22"/>
        </w:rPr>
      </w:pPr>
    </w:p>
    <w:p w14:paraId="1F9AE33E" w14:textId="6641D0FA" w:rsidR="00274B6F" w:rsidRPr="00383E22" w:rsidRDefault="00274B6F" w:rsidP="00274B6F">
      <w:pPr>
        <w:tabs>
          <w:tab w:val="left" w:pos="5400"/>
        </w:tabs>
        <w:jc w:val="both"/>
        <w:rPr>
          <w:szCs w:val="22"/>
        </w:rPr>
      </w:pPr>
      <w:r w:rsidRPr="00383E22">
        <w:rPr>
          <w:szCs w:val="22"/>
        </w:rPr>
        <w:t xml:space="preserve">Klindamycin může někdy vyvolat nadměrné pomnožení necitlivých mikroorganismů, např. rezistentních </w:t>
      </w:r>
      <w:r w:rsidRPr="00383E22">
        <w:rPr>
          <w:i/>
          <w:szCs w:val="22"/>
        </w:rPr>
        <w:t>klostridií</w:t>
      </w:r>
      <w:r w:rsidRPr="00383E22">
        <w:rPr>
          <w:szCs w:val="22"/>
        </w:rPr>
        <w:t xml:space="preserve"> a kvasinek. V případě sekundární infekce je nutno léčbu ukončit a přijmout vhodná opatření na základě klinických nálezů.</w:t>
      </w:r>
    </w:p>
    <w:p w14:paraId="68C1D8D0" w14:textId="77777777" w:rsidR="00274B6F" w:rsidRPr="00383E22" w:rsidRDefault="00274B6F" w:rsidP="005936AC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3DD32652" w14:textId="7C8568E0" w:rsidR="00247A48" w:rsidRPr="00383E22" w:rsidRDefault="0081532F" w:rsidP="005936AC">
      <w:pPr>
        <w:jc w:val="both"/>
        <w:rPr>
          <w:szCs w:val="22"/>
        </w:rPr>
      </w:pPr>
      <w:bookmarkStart w:id="1" w:name="_Hlk66891708"/>
      <w:r w:rsidRPr="00383E22">
        <w:rPr>
          <w:szCs w:val="22"/>
        </w:rPr>
        <w:t>Hlášení nežádoucích účinků je důležité. Umožňuje nepřetržité sledování bezpečnosti veterinárního léčivého přípravku. Hlášení je třeba zaslat</w:t>
      </w:r>
      <w:r w:rsidR="005272F4" w:rsidRPr="00383E22">
        <w:rPr>
          <w:szCs w:val="22"/>
        </w:rPr>
        <w:t>,</w:t>
      </w:r>
      <w:r w:rsidRPr="00383E22">
        <w:rPr>
          <w:szCs w:val="22"/>
        </w:rPr>
        <w:t xml:space="preserve"> pokud možno</w:t>
      </w:r>
      <w:r w:rsidR="005272F4" w:rsidRPr="00383E22">
        <w:rPr>
          <w:szCs w:val="22"/>
        </w:rPr>
        <w:t>,</w:t>
      </w:r>
      <w:r w:rsidRPr="00383E22">
        <w:rPr>
          <w:szCs w:val="22"/>
        </w:rPr>
        <w:t xml:space="preserve"> prostřednictvím veterinárního lékaře</w:t>
      </w:r>
      <w:r w:rsidR="00562715" w:rsidRPr="00383E22">
        <w:rPr>
          <w:szCs w:val="22"/>
        </w:rPr>
        <w:t>,</w:t>
      </w:r>
      <w:r w:rsidRPr="00383E22">
        <w:rPr>
          <w:szCs w:val="22"/>
        </w:rPr>
        <w:t xml:space="preserve"> buď držiteli rozhodnutí o registraci </w:t>
      </w:r>
      <w:r w:rsidR="00CA28D8" w:rsidRPr="00383E22">
        <w:rPr>
          <w:szCs w:val="22"/>
        </w:rPr>
        <w:t>,</w:t>
      </w:r>
      <w:r w:rsidR="00863A6D" w:rsidRPr="00383E22">
        <w:rPr>
          <w:szCs w:val="22"/>
        </w:rPr>
        <w:t xml:space="preserve"> </w:t>
      </w:r>
      <w:r w:rsidRPr="00383E22">
        <w:rPr>
          <w:szCs w:val="22"/>
        </w:rPr>
        <w:t xml:space="preserve">nebo jeho místnímu zástupci, nebo příslušnému vnitrostátnímu orgánu prostřednictvím národního systému hlášení. </w:t>
      </w:r>
      <w:bookmarkStart w:id="2" w:name="_Hlk184130880"/>
      <w:r w:rsidRPr="00383E22">
        <w:rPr>
          <w:szCs w:val="22"/>
        </w:rPr>
        <w:t>Podrobné kontaktní údaje naleznete</w:t>
      </w:r>
      <w:bookmarkEnd w:id="2"/>
      <w:r w:rsidRPr="00383E22">
        <w:rPr>
          <w:szCs w:val="22"/>
        </w:rPr>
        <w:t xml:space="preserve"> </w:t>
      </w:r>
      <w:r w:rsidR="00067023" w:rsidRPr="00383E22">
        <w:rPr>
          <w:szCs w:val="22"/>
        </w:rPr>
        <w:t xml:space="preserve">v </w:t>
      </w:r>
      <w:r w:rsidRPr="00383E22">
        <w:rPr>
          <w:szCs w:val="22"/>
        </w:rPr>
        <w:t>příbalové informac</w:t>
      </w:r>
      <w:r w:rsidR="00863A6D" w:rsidRPr="00383E22">
        <w:rPr>
          <w:szCs w:val="22"/>
        </w:rPr>
        <w:t>i</w:t>
      </w:r>
      <w:r w:rsidR="00042E6C">
        <w:rPr>
          <w:szCs w:val="22"/>
        </w:rPr>
        <w:t>.</w:t>
      </w:r>
    </w:p>
    <w:bookmarkEnd w:id="1"/>
    <w:p w14:paraId="6871F765" w14:textId="77777777" w:rsidR="00247A48" w:rsidRPr="00383E22" w:rsidRDefault="00247A48" w:rsidP="00AD0710">
      <w:pPr>
        <w:tabs>
          <w:tab w:val="clear" w:pos="567"/>
        </w:tabs>
        <w:spacing w:line="240" w:lineRule="auto"/>
        <w:rPr>
          <w:szCs w:val="22"/>
        </w:rPr>
      </w:pPr>
    </w:p>
    <w:p w14:paraId="772CD533" w14:textId="77777777" w:rsidR="00C114FF" w:rsidRPr="00383E22" w:rsidRDefault="0081532F" w:rsidP="00B13B6D">
      <w:pPr>
        <w:pStyle w:val="Style1"/>
      </w:pPr>
      <w:r w:rsidRPr="00383E22">
        <w:t>3.7</w:t>
      </w:r>
      <w:r w:rsidRPr="00383E22">
        <w:tab/>
        <w:t>Použití v průběhu březosti, laktace nebo snášky</w:t>
      </w:r>
    </w:p>
    <w:p w14:paraId="0DFBFADE" w14:textId="77777777" w:rsidR="00C114FF" w:rsidRPr="00383E22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53C1DD44" w14:textId="7F74989D" w:rsidR="00092A37" w:rsidRPr="00383E22" w:rsidRDefault="00166FC8" w:rsidP="005936AC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383E22">
        <w:rPr>
          <w:szCs w:val="22"/>
          <w:u w:val="single"/>
        </w:rPr>
        <w:t>Plodnost a březost</w:t>
      </w:r>
      <w:r w:rsidRPr="00383E22">
        <w:rPr>
          <w:szCs w:val="22"/>
        </w:rPr>
        <w:t>:</w:t>
      </w:r>
    </w:p>
    <w:p w14:paraId="7C00736F" w14:textId="789B8214" w:rsidR="00166FC8" w:rsidRPr="00383E22" w:rsidRDefault="00166FC8" w:rsidP="005936AC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383E22">
        <w:rPr>
          <w:szCs w:val="22"/>
        </w:rPr>
        <w:t xml:space="preserve">Přestože studie s vysokými dávkami u potkanů nasvědčují tomu, že klindamycin není teratogen a nemá významný vliv na </w:t>
      </w:r>
      <w:r w:rsidR="00287FC5">
        <w:rPr>
          <w:szCs w:val="22"/>
        </w:rPr>
        <w:t xml:space="preserve">reprodukční </w:t>
      </w:r>
      <w:r w:rsidRPr="00383E22">
        <w:rPr>
          <w:szCs w:val="22"/>
        </w:rPr>
        <w:t xml:space="preserve">schopnosti samců ani samic, bezpečnost tohoto veterinárního léčivého přípravku u březích fen/koček nebo chovných psů/kocourů nebyla stanovena. </w:t>
      </w:r>
    </w:p>
    <w:p w14:paraId="545BBF1C" w14:textId="42641BB4" w:rsidR="00166FC8" w:rsidRPr="00383E22" w:rsidRDefault="00166FC8" w:rsidP="005936AC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383E22">
        <w:rPr>
          <w:szCs w:val="22"/>
        </w:rPr>
        <w:t xml:space="preserve">Použít pouze po zvážení poměru terapeutického prospěchu a rizika příslušným veterinárním lékařem. </w:t>
      </w:r>
    </w:p>
    <w:p w14:paraId="3A811BA8" w14:textId="77777777" w:rsidR="00C114FF" w:rsidRPr="00383E22" w:rsidRDefault="00C114FF" w:rsidP="005936AC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060EDBF1" w14:textId="46B17CC0" w:rsidR="00C114FF" w:rsidRPr="00383E22" w:rsidRDefault="0081532F" w:rsidP="005936AC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383E22">
        <w:rPr>
          <w:szCs w:val="22"/>
          <w:u w:val="single"/>
        </w:rPr>
        <w:t>Laktace</w:t>
      </w:r>
      <w:r w:rsidR="00166FC8" w:rsidRPr="00383E22">
        <w:rPr>
          <w:szCs w:val="22"/>
        </w:rPr>
        <w:t>:</w:t>
      </w:r>
    </w:p>
    <w:p w14:paraId="48216EB8" w14:textId="7D9DCDD1" w:rsidR="00C114FF" w:rsidRPr="00383E22" w:rsidRDefault="00166FC8" w:rsidP="005936AC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383E22">
        <w:rPr>
          <w:szCs w:val="22"/>
        </w:rPr>
        <w:t>Klindamycin může přecházet z krve do mléka. V důsledku toho může léčba laktujících samic způsobit průjem u štěňat a koťat.</w:t>
      </w:r>
    </w:p>
    <w:p w14:paraId="7293CCD7" w14:textId="655CDDC8" w:rsidR="00166FC8" w:rsidRPr="00383E22" w:rsidRDefault="00166FC8" w:rsidP="005936AC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5C5C1959" w14:textId="77777777" w:rsidR="00C114FF" w:rsidRPr="00383E22" w:rsidRDefault="0081532F" w:rsidP="005936AC">
      <w:pPr>
        <w:pStyle w:val="Style1"/>
        <w:jc w:val="both"/>
      </w:pPr>
      <w:r w:rsidRPr="00383E22">
        <w:t>3.8</w:t>
      </w:r>
      <w:r w:rsidRPr="00383E22">
        <w:tab/>
        <w:t>Interakce s jinými léčivými přípravky a další formy interakce</w:t>
      </w:r>
    </w:p>
    <w:p w14:paraId="54454937" w14:textId="77777777" w:rsidR="00C114FF" w:rsidRPr="00383E22" w:rsidRDefault="00C114FF" w:rsidP="005936AC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0667DB92" w14:textId="4CE758D8" w:rsidR="00166FC8" w:rsidRPr="00383E22" w:rsidDel="00E07D4B" w:rsidRDefault="00166FC8" w:rsidP="00287FC5">
      <w:pPr>
        <w:numPr>
          <w:ilvl w:val="0"/>
          <w:numId w:val="42"/>
        </w:numPr>
        <w:tabs>
          <w:tab w:val="clear" w:pos="567"/>
        </w:tabs>
        <w:spacing w:line="240" w:lineRule="auto"/>
        <w:jc w:val="both"/>
        <w:rPr>
          <w:szCs w:val="22"/>
        </w:rPr>
      </w:pPr>
      <w:r w:rsidRPr="00383E22">
        <w:rPr>
          <w:szCs w:val="22"/>
        </w:rPr>
        <w:t>Soli a hydroxidy hliníku, kaolin a hlinito-hořečnato-křemičitanový komplex mohou snížit vstřebávání</w:t>
      </w:r>
      <w:r w:rsidR="00DE43B3">
        <w:rPr>
          <w:szCs w:val="22"/>
        </w:rPr>
        <w:t xml:space="preserve"> z</w:t>
      </w:r>
      <w:r w:rsidRPr="00383E22">
        <w:rPr>
          <w:szCs w:val="22"/>
        </w:rPr>
        <w:t xml:space="preserve"> </w:t>
      </w:r>
      <w:r w:rsidR="00DE43B3" w:rsidRPr="00383E22">
        <w:rPr>
          <w:szCs w:val="22"/>
        </w:rPr>
        <w:t>trávicí</w:t>
      </w:r>
      <w:r w:rsidR="00DE43B3">
        <w:rPr>
          <w:szCs w:val="22"/>
        </w:rPr>
        <w:t>ho</w:t>
      </w:r>
      <w:r w:rsidR="00DE43B3" w:rsidRPr="00383E22">
        <w:rPr>
          <w:szCs w:val="22"/>
        </w:rPr>
        <w:t xml:space="preserve"> trakt</w:t>
      </w:r>
      <w:r w:rsidR="00DE43B3">
        <w:rPr>
          <w:szCs w:val="22"/>
        </w:rPr>
        <w:t>u</w:t>
      </w:r>
      <w:r w:rsidRPr="00383E22">
        <w:rPr>
          <w:szCs w:val="22"/>
        </w:rPr>
        <w:t>. Tyto digestivní přípravky je nutno podávat nejméně 2 hodiny před klindamycinem.</w:t>
      </w:r>
    </w:p>
    <w:p w14:paraId="5DAA7733" w14:textId="62482AFD" w:rsidR="00E04CDF" w:rsidRPr="00383E22" w:rsidDel="00E07D4B" w:rsidRDefault="00166FC8" w:rsidP="00957300">
      <w:pPr>
        <w:numPr>
          <w:ilvl w:val="0"/>
          <w:numId w:val="42"/>
        </w:numPr>
        <w:tabs>
          <w:tab w:val="clear" w:pos="567"/>
        </w:tabs>
        <w:spacing w:line="240" w:lineRule="auto"/>
        <w:jc w:val="both"/>
        <w:rPr>
          <w:szCs w:val="22"/>
        </w:rPr>
      </w:pPr>
      <w:r w:rsidRPr="00383E22">
        <w:rPr>
          <w:szCs w:val="22"/>
        </w:rPr>
        <w:t xml:space="preserve">Cyklosporin: klindamycin může snižovat hladiny tohoto imunosupresivního </w:t>
      </w:r>
      <w:r w:rsidR="00957300" w:rsidRPr="00383E22">
        <w:rPr>
          <w:szCs w:val="22"/>
        </w:rPr>
        <w:t>lé</w:t>
      </w:r>
      <w:r w:rsidR="00957300">
        <w:rPr>
          <w:szCs w:val="22"/>
        </w:rPr>
        <w:t>čiva</w:t>
      </w:r>
      <w:r w:rsidR="00957300" w:rsidRPr="00383E22">
        <w:rPr>
          <w:szCs w:val="22"/>
        </w:rPr>
        <w:t xml:space="preserve"> </w:t>
      </w:r>
      <w:r w:rsidRPr="00383E22">
        <w:rPr>
          <w:szCs w:val="22"/>
        </w:rPr>
        <w:t>s rizikem ztráty účinnosti.</w:t>
      </w:r>
    </w:p>
    <w:p w14:paraId="6A077D22" w14:textId="05A60D05" w:rsidR="00166FC8" w:rsidRPr="00383E22" w:rsidRDefault="00166FC8" w:rsidP="0092611E">
      <w:pPr>
        <w:numPr>
          <w:ilvl w:val="0"/>
          <w:numId w:val="42"/>
        </w:numPr>
        <w:tabs>
          <w:tab w:val="clear" w:pos="567"/>
        </w:tabs>
        <w:spacing w:line="240" w:lineRule="auto"/>
        <w:jc w:val="both"/>
        <w:rPr>
          <w:szCs w:val="22"/>
        </w:rPr>
      </w:pPr>
      <w:r w:rsidRPr="00383E22">
        <w:rPr>
          <w:szCs w:val="22"/>
        </w:rPr>
        <w:t xml:space="preserve">Neuromuskulární blokátory: klindamycin sám o sobě vykazuje </w:t>
      </w:r>
      <w:r w:rsidR="00267F30" w:rsidRPr="00267F30">
        <w:rPr>
          <w:szCs w:val="22"/>
        </w:rPr>
        <w:t>neuromuskulárně blokující účinek</w:t>
      </w:r>
      <w:r w:rsidRPr="00383E22">
        <w:rPr>
          <w:szCs w:val="22"/>
        </w:rPr>
        <w:t xml:space="preserve"> a při použití s jinými neuromuskulárními blokátory (kurare) je nutná opatrnost. Klindamycin může zvyšovat neuromuskulární blokádu.</w:t>
      </w:r>
    </w:p>
    <w:p w14:paraId="3C587B56" w14:textId="2A5BF005" w:rsidR="00166FC8" w:rsidRPr="00383E22" w:rsidRDefault="00957300" w:rsidP="0092611E">
      <w:pPr>
        <w:numPr>
          <w:ilvl w:val="0"/>
          <w:numId w:val="42"/>
        </w:numPr>
        <w:tabs>
          <w:tab w:val="clear" w:pos="567"/>
        </w:tabs>
        <w:spacing w:line="240" w:lineRule="auto"/>
        <w:jc w:val="both"/>
        <w:rPr>
          <w:szCs w:val="22"/>
        </w:rPr>
      </w:pPr>
      <w:r w:rsidRPr="00383E22">
        <w:rPr>
          <w:szCs w:val="22"/>
        </w:rPr>
        <w:t>Nepoužív</w:t>
      </w:r>
      <w:r>
        <w:rPr>
          <w:szCs w:val="22"/>
        </w:rPr>
        <w:t>at</w:t>
      </w:r>
      <w:r w:rsidRPr="00383E22">
        <w:rPr>
          <w:szCs w:val="22"/>
        </w:rPr>
        <w:t xml:space="preserve"> </w:t>
      </w:r>
      <w:r w:rsidR="00166FC8" w:rsidRPr="00383E22">
        <w:rPr>
          <w:szCs w:val="22"/>
        </w:rPr>
        <w:t>klindamycin zároveň s chloramfenikolem nebo makrolidy, protože mechanismus účinku obou je cílen na podjednotku ribozomu 50S a může dojít k rozvinutí antagonistických účinků.</w:t>
      </w:r>
    </w:p>
    <w:p w14:paraId="298060FE" w14:textId="77777777" w:rsidR="00166FC8" w:rsidRPr="00383E22" w:rsidRDefault="00166FC8" w:rsidP="0092611E">
      <w:pPr>
        <w:numPr>
          <w:ilvl w:val="0"/>
          <w:numId w:val="42"/>
        </w:numPr>
        <w:tabs>
          <w:tab w:val="clear" w:pos="567"/>
        </w:tabs>
        <w:spacing w:line="240" w:lineRule="auto"/>
        <w:jc w:val="both"/>
        <w:rPr>
          <w:szCs w:val="22"/>
        </w:rPr>
      </w:pPr>
      <w:r w:rsidRPr="00383E22">
        <w:rPr>
          <w:szCs w:val="22"/>
        </w:rPr>
        <w:t xml:space="preserve">Při současném použití klindamycinu a aminoglykosidů (tj. gentamicinu) nelze vyloučit riziko nežádoucích interakcí (akutní selhání ledvin). </w:t>
      </w:r>
    </w:p>
    <w:p w14:paraId="0B86F3A7" w14:textId="77777777" w:rsidR="00C90EDA" w:rsidRPr="00383E22" w:rsidRDefault="00C90ED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33DFD79" w14:textId="77777777" w:rsidR="00C114FF" w:rsidRPr="00383E22" w:rsidRDefault="0081532F" w:rsidP="00B13B6D">
      <w:pPr>
        <w:pStyle w:val="Style1"/>
      </w:pPr>
      <w:r w:rsidRPr="00383E22">
        <w:t>3.9</w:t>
      </w:r>
      <w:r w:rsidRPr="00383E22">
        <w:tab/>
        <w:t>Cesty podání a dávkování</w:t>
      </w:r>
    </w:p>
    <w:p w14:paraId="0C31E074" w14:textId="77777777" w:rsidR="00145D34" w:rsidRPr="00383E22" w:rsidRDefault="00145D34" w:rsidP="00145C3F">
      <w:pPr>
        <w:tabs>
          <w:tab w:val="clear" w:pos="567"/>
        </w:tabs>
        <w:spacing w:line="240" w:lineRule="auto"/>
        <w:rPr>
          <w:szCs w:val="22"/>
        </w:rPr>
      </w:pPr>
    </w:p>
    <w:p w14:paraId="3DB31961" w14:textId="77777777" w:rsidR="00957300" w:rsidRDefault="00015194" w:rsidP="00015194">
      <w:pPr>
        <w:tabs>
          <w:tab w:val="left" w:pos="3075"/>
        </w:tabs>
        <w:jc w:val="both"/>
        <w:rPr>
          <w:szCs w:val="22"/>
        </w:rPr>
      </w:pPr>
      <w:r w:rsidRPr="00383E22">
        <w:rPr>
          <w:szCs w:val="22"/>
        </w:rPr>
        <w:t>Pouze pro perorální podání.</w:t>
      </w:r>
    </w:p>
    <w:p w14:paraId="51E1795A" w14:textId="41A04CE7" w:rsidR="00015194" w:rsidRPr="00383E22" w:rsidRDefault="00015194" w:rsidP="00015194">
      <w:pPr>
        <w:tabs>
          <w:tab w:val="left" w:pos="3075"/>
        </w:tabs>
        <w:jc w:val="both"/>
        <w:rPr>
          <w:szCs w:val="22"/>
        </w:rPr>
      </w:pPr>
      <w:r w:rsidRPr="00383E22">
        <w:rPr>
          <w:szCs w:val="22"/>
        </w:rPr>
        <w:tab/>
      </w:r>
    </w:p>
    <w:p w14:paraId="51F95D97" w14:textId="2413BC05" w:rsidR="00015194" w:rsidRPr="00383E22" w:rsidRDefault="00015194" w:rsidP="00015194">
      <w:pPr>
        <w:tabs>
          <w:tab w:val="left" w:pos="3075"/>
        </w:tabs>
        <w:jc w:val="both"/>
        <w:rPr>
          <w:szCs w:val="22"/>
        </w:rPr>
      </w:pPr>
      <w:r w:rsidRPr="00383E22">
        <w:rPr>
          <w:szCs w:val="22"/>
        </w:rPr>
        <w:t>K zajištění podání správné dávky je nutno co nejpřesněji stanovit živou hmotnost.</w:t>
      </w:r>
    </w:p>
    <w:p w14:paraId="66885946" w14:textId="77777777" w:rsidR="00015194" w:rsidRPr="00383E22" w:rsidRDefault="00015194" w:rsidP="00015194">
      <w:pPr>
        <w:jc w:val="both"/>
        <w:rPr>
          <w:szCs w:val="22"/>
        </w:rPr>
      </w:pPr>
      <w:r w:rsidRPr="00383E22">
        <w:rPr>
          <w:szCs w:val="22"/>
        </w:rPr>
        <w:t>Doporučené dávkování:</w:t>
      </w:r>
    </w:p>
    <w:p w14:paraId="17D5B018" w14:textId="77777777" w:rsidR="00015194" w:rsidRPr="00383E22" w:rsidRDefault="00015194" w:rsidP="00015194">
      <w:pPr>
        <w:jc w:val="both"/>
        <w:rPr>
          <w:szCs w:val="22"/>
        </w:rPr>
      </w:pPr>
      <w:r w:rsidRPr="00383E22">
        <w:rPr>
          <w:szCs w:val="22"/>
        </w:rPr>
        <w:t>Kočky:</w:t>
      </w:r>
    </w:p>
    <w:p w14:paraId="7BD13E24" w14:textId="77777777" w:rsidR="00015194" w:rsidRPr="00383E22" w:rsidRDefault="00015194" w:rsidP="00015194">
      <w:pPr>
        <w:numPr>
          <w:ilvl w:val="0"/>
          <w:numId w:val="41"/>
        </w:numPr>
        <w:tabs>
          <w:tab w:val="clear" w:pos="567"/>
        </w:tabs>
        <w:spacing w:line="240" w:lineRule="auto"/>
        <w:ind w:left="180" w:hanging="180"/>
        <w:jc w:val="both"/>
        <w:rPr>
          <w:szCs w:val="22"/>
        </w:rPr>
      </w:pPr>
      <w:r w:rsidRPr="00383E22">
        <w:rPr>
          <w:szCs w:val="22"/>
        </w:rPr>
        <w:t>Infikované rány, abscesy: 11 mg klindamycinu na kg živé hmotnosti za 24 hod nebo 5,5 mg/kg za 12 hod po dobu 7 až 10 dnů</w:t>
      </w:r>
    </w:p>
    <w:p w14:paraId="2549D87A" w14:textId="77777777" w:rsidR="00015194" w:rsidRPr="00383E22" w:rsidRDefault="00015194" w:rsidP="00015194">
      <w:pPr>
        <w:jc w:val="both"/>
        <w:rPr>
          <w:szCs w:val="22"/>
        </w:rPr>
      </w:pPr>
      <w:r w:rsidRPr="00383E22">
        <w:rPr>
          <w:szCs w:val="22"/>
        </w:rPr>
        <w:t>Pokud není po 4 dnech pozorován terapeutický účinek, je nutno léčbu zastavit.</w:t>
      </w:r>
    </w:p>
    <w:p w14:paraId="1D027B4B" w14:textId="77777777" w:rsidR="00015194" w:rsidRPr="00383E22" w:rsidRDefault="00015194" w:rsidP="00015194">
      <w:pPr>
        <w:jc w:val="both"/>
        <w:rPr>
          <w:szCs w:val="22"/>
        </w:rPr>
      </w:pPr>
    </w:p>
    <w:p w14:paraId="03409DDA" w14:textId="77777777" w:rsidR="00015194" w:rsidRPr="00383E22" w:rsidRDefault="00015194" w:rsidP="00015194">
      <w:pPr>
        <w:jc w:val="both"/>
        <w:rPr>
          <w:szCs w:val="22"/>
        </w:rPr>
      </w:pPr>
      <w:r w:rsidRPr="00383E22">
        <w:rPr>
          <w:szCs w:val="22"/>
        </w:rPr>
        <w:t>Psi:</w:t>
      </w:r>
    </w:p>
    <w:p w14:paraId="60F4711C" w14:textId="2420DB3E" w:rsidR="00015194" w:rsidRPr="00383E22" w:rsidRDefault="00015194" w:rsidP="00015194">
      <w:pPr>
        <w:numPr>
          <w:ilvl w:val="0"/>
          <w:numId w:val="41"/>
        </w:numPr>
        <w:tabs>
          <w:tab w:val="clear" w:pos="567"/>
        </w:tabs>
        <w:spacing w:line="240" w:lineRule="auto"/>
        <w:ind w:left="180" w:hanging="180"/>
        <w:jc w:val="both"/>
        <w:rPr>
          <w:szCs w:val="22"/>
        </w:rPr>
      </w:pPr>
      <w:r w:rsidRPr="00383E22">
        <w:rPr>
          <w:szCs w:val="22"/>
        </w:rPr>
        <w:t>Infikované rány, abscesy a infekce dutiny ústní/zubů: 11 mg klindamycinu na kg živé hmotnosti za 24 hod nebo 5,5 mg/kg za 12 hod po dobu 7 až 10 dnů.</w:t>
      </w:r>
    </w:p>
    <w:p w14:paraId="1CA432DE" w14:textId="77777777" w:rsidR="00015194" w:rsidRPr="00383E22" w:rsidRDefault="00015194" w:rsidP="00015194">
      <w:pPr>
        <w:jc w:val="both"/>
        <w:rPr>
          <w:szCs w:val="22"/>
        </w:rPr>
      </w:pPr>
      <w:r w:rsidRPr="00383E22">
        <w:rPr>
          <w:szCs w:val="22"/>
        </w:rPr>
        <w:t>Pokud není po 4 dnech pozorován terapeutický účinek, je nutno léčbu zastavit.</w:t>
      </w:r>
    </w:p>
    <w:p w14:paraId="62402425" w14:textId="5D782D2E" w:rsidR="00015194" w:rsidRPr="00383E22" w:rsidRDefault="00015194" w:rsidP="00015194">
      <w:pPr>
        <w:numPr>
          <w:ilvl w:val="0"/>
          <w:numId w:val="41"/>
        </w:numPr>
        <w:tabs>
          <w:tab w:val="clear" w:pos="567"/>
        </w:tabs>
        <w:spacing w:line="240" w:lineRule="auto"/>
        <w:ind w:left="180" w:hanging="180"/>
        <w:jc w:val="both"/>
        <w:rPr>
          <w:szCs w:val="22"/>
        </w:rPr>
      </w:pPr>
      <w:r w:rsidRPr="00383E22">
        <w:rPr>
          <w:szCs w:val="22"/>
        </w:rPr>
        <w:t xml:space="preserve">Léčba kostních infekcí (osteomyelitidy): 11 mg klindamycinu na kg živé hmotnosti každých 12 hodin </w:t>
      </w:r>
      <w:bookmarkStart w:id="3" w:name="_Hlk234844398"/>
      <w:r w:rsidR="00957300" w:rsidRPr="00957300">
        <w:rPr>
          <w:szCs w:val="22"/>
        </w:rPr>
        <w:t>po dobu minimálně 28 dnů</w:t>
      </w:r>
      <w:bookmarkEnd w:id="3"/>
      <w:r w:rsidRPr="00383E22">
        <w:rPr>
          <w:szCs w:val="22"/>
        </w:rPr>
        <w:t>. Léčbu je nutno přerušit, pokud za prvních 14 dnů není pozorován terapeutický účinek.</w:t>
      </w:r>
    </w:p>
    <w:p w14:paraId="51B793CE" w14:textId="77777777" w:rsidR="00015194" w:rsidRPr="00383E22" w:rsidRDefault="00015194" w:rsidP="00015194">
      <w:pPr>
        <w:jc w:val="both"/>
        <w:rPr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08"/>
        <w:gridCol w:w="4950"/>
      </w:tblGrid>
      <w:tr w:rsidR="00015194" w:rsidRPr="00383E22" w14:paraId="2B61C1CA" w14:textId="77777777" w:rsidTr="0069373C">
        <w:tc>
          <w:tcPr>
            <w:tcW w:w="1908" w:type="dxa"/>
          </w:tcPr>
          <w:p w14:paraId="0AAE230D" w14:textId="77777777" w:rsidR="00015194" w:rsidRPr="00383E22" w:rsidRDefault="00015194" w:rsidP="0069373C">
            <w:pPr>
              <w:jc w:val="both"/>
              <w:rPr>
                <w:szCs w:val="22"/>
              </w:rPr>
            </w:pPr>
            <w:r w:rsidRPr="00383E22">
              <w:rPr>
                <w:szCs w:val="22"/>
              </w:rPr>
              <w:t>Dávkování</w:t>
            </w:r>
          </w:p>
        </w:tc>
        <w:tc>
          <w:tcPr>
            <w:tcW w:w="4950" w:type="dxa"/>
          </w:tcPr>
          <w:p w14:paraId="55835BB3" w14:textId="77777777" w:rsidR="00015194" w:rsidRPr="00383E22" w:rsidRDefault="00015194" w:rsidP="0069373C">
            <w:pPr>
              <w:jc w:val="both"/>
              <w:rPr>
                <w:szCs w:val="22"/>
              </w:rPr>
            </w:pPr>
            <w:r w:rsidRPr="00383E22">
              <w:rPr>
                <w:szCs w:val="22"/>
              </w:rPr>
              <w:t>Objem podávaný na kg živé hmotnosti</w:t>
            </w:r>
          </w:p>
        </w:tc>
      </w:tr>
      <w:tr w:rsidR="00015194" w:rsidRPr="00383E22" w14:paraId="4E6216F4" w14:textId="77777777" w:rsidTr="0069373C">
        <w:tc>
          <w:tcPr>
            <w:tcW w:w="1908" w:type="dxa"/>
          </w:tcPr>
          <w:p w14:paraId="60541B1A" w14:textId="77777777" w:rsidR="00015194" w:rsidRPr="00383E22" w:rsidRDefault="00015194" w:rsidP="0069373C">
            <w:pPr>
              <w:jc w:val="both"/>
              <w:rPr>
                <w:szCs w:val="22"/>
              </w:rPr>
            </w:pPr>
            <w:r w:rsidRPr="00383E22">
              <w:rPr>
                <w:szCs w:val="22"/>
              </w:rPr>
              <w:t>5,5 mg/kg</w:t>
            </w:r>
          </w:p>
        </w:tc>
        <w:tc>
          <w:tcPr>
            <w:tcW w:w="4950" w:type="dxa"/>
          </w:tcPr>
          <w:p w14:paraId="15A0A18B" w14:textId="77777777" w:rsidR="00015194" w:rsidRPr="00383E22" w:rsidRDefault="00015194" w:rsidP="0069373C">
            <w:pPr>
              <w:jc w:val="both"/>
              <w:rPr>
                <w:szCs w:val="22"/>
              </w:rPr>
            </w:pPr>
            <w:r w:rsidRPr="00383E22">
              <w:rPr>
                <w:szCs w:val="22"/>
              </w:rPr>
              <w:t>Odpovídá cca 0,25 ml na kg</w:t>
            </w:r>
          </w:p>
        </w:tc>
      </w:tr>
      <w:tr w:rsidR="00015194" w:rsidRPr="00383E22" w14:paraId="4EC00D20" w14:textId="77777777" w:rsidTr="0069373C">
        <w:tc>
          <w:tcPr>
            <w:tcW w:w="1908" w:type="dxa"/>
          </w:tcPr>
          <w:p w14:paraId="24177718" w14:textId="77777777" w:rsidR="00015194" w:rsidRPr="00383E22" w:rsidRDefault="00015194" w:rsidP="0069373C">
            <w:pPr>
              <w:jc w:val="both"/>
              <w:rPr>
                <w:szCs w:val="22"/>
              </w:rPr>
            </w:pPr>
            <w:r w:rsidRPr="00383E22">
              <w:rPr>
                <w:szCs w:val="22"/>
              </w:rPr>
              <w:t>11 mg/kg</w:t>
            </w:r>
          </w:p>
        </w:tc>
        <w:tc>
          <w:tcPr>
            <w:tcW w:w="4950" w:type="dxa"/>
          </w:tcPr>
          <w:p w14:paraId="33408F23" w14:textId="77777777" w:rsidR="00015194" w:rsidRPr="00383E22" w:rsidRDefault="00015194" w:rsidP="0069373C">
            <w:pPr>
              <w:jc w:val="both"/>
              <w:rPr>
                <w:szCs w:val="22"/>
              </w:rPr>
            </w:pPr>
            <w:r w:rsidRPr="00383E22">
              <w:rPr>
                <w:szCs w:val="22"/>
              </w:rPr>
              <w:t>Odpovídá cca 0,5 ml na kg</w:t>
            </w:r>
          </w:p>
        </w:tc>
      </w:tr>
    </w:tbl>
    <w:p w14:paraId="38C4758B" w14:textId="77777777" w:rsidR="00015194" w:rsidRPr="00383E22" w:rsidRDefault="00015194" w:rsidP="00015194">
      <w:pPr>
        <w:jc w:val="both"/>
        <w:rPr>
          <w:szCs w:val="22"/>
        </w:rPr>
      </w:pPr>
    </w:p>
    <w:p w14:paraId="63DE2511" w14:textId="77777777" w:rsidR="00015194" w:rsidRPr="00383E22" w:rsidRDefault="00015194" w:rsidP="00015194">
      <w:pPr>
        <w:jc w:val="both"/>
        <w:rPr>
          <w:bCs/>
          <w:szCs w:val="22"/>
        </w:rPr>
      </w:pPr>
      <w:r w:rsidRPr="00383E22">
        <w:rPr>
          <w:szCs w:val="22"/>
        </w:rPr>
        <w:t>Součástí balení je 3 ml odměrná stříkačka, která usnadňuje podávání tohoto veterinárního léčivého přípravku.</w:t>
      </w:r>
    </w:p>
    <w:p w14:paraId="13504C24" w14:textId="77777777" w:rsidR="00247A48" w:rsidRPr="00383E22" w:rsidRDefault="00247A48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A85AF50" w14:textId="198BF553" w:rsidR="00C114FF" w:rsidRPr="00383E22" w:rsidRDefault="0081532F" w:rsidP="00B13B6D">
      <w:pPr>
        <w:pStyle w:val="Style1"/>
      </w:pPr>
      <w:r w:rsidRPr="00383E22">
        <w:t>3.10</w:t>
      </w:r>
      <w:r w:rsidRPr="00383E22">
        <w:tab/>
        <w:t xml:space="preserve">Příznaky předávkování </w:t>
      </w:r>
      <w:r w:rsidR="00EC5045" w:rsidRPr="00383E22">
        <w:t>(</w:t>
      </w:r>
      <w:r w:rsidRPr="00383E22">
        <w:t xml:space="preserve">a </w:t>
      </w:r>
      <w:r w:rsidR="00202A85" w:rsidRPr="00383E22">
        <w:t>kde</w:t>
      </w:r>
      <w:r w:rsidR="005E66FC" w:rsidRPr="00383E22">
        <w:t xml:space="preserve"> </w:t>
      </w:r>
      <w:r w:rsidR="00202A85" w:rsidRPr="00383E22">
        <w:t>je</w:t>
      </w:r>
      <w:r w:rsidR="005E66FC" w:rsidRPr="00383E22">
        <w:t xml:space="preserve"> </w:t>
      </w:r>
      <w:r w:rsidR="00FB6F2F" w:rsidRPr="00383E22">
        <w:t>relevantní</w:t>
      </w:r>
      <w:r w:rsidR="00202A85" w:rsidRPr="00383E22">
        <w:t>, první pomoc</w:t>
      </w:r>
      <w:r w:rsidRPr="00383E22">
        <w:t xml:space="preserve"> a antidota</w:t>
      </w:r>
      <w:r w:rsidR="00202A85" w:rsidRPr="00383E22">
        <w:t>)</w:t>
      </w:r>
      <w:r w:rsidRPr="00383E22">
        <w:t xml:space="preserve"> </w:t>
      </w:r>
    </w:p>
    <w:p w14:paraId="45A34650" w14:textId="3FB7796B" w:rsidR="00C114FF" w:rsidRPr="00383E22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CB9C340" w14:textId="50B841FB" w:rsidR="00015194" w:rsidRPr="00383E22" w:rsidRDefault="00015194" w:rsidP="005936AC">
      <w:pPr>
        <w:jc w:val="both"/>
        <w:rPr>
          <w:szCs w:val="22"/>
        </w:rPr>
      </w:pPr>
      <w:r w:rsidRPr="00383E22">
        <w:rPr>
          <w:szCs w:val="22"/>
        </w:rPr>
        <w:t xml:space="preserve">U psů byla bez nežádoucích účinků tolerována dávka 300 mg/kg. Občas bylo pozorováno zvracení, ztráta chuti, průjem, leukocytóza a zvýšení jaterních enzymů (AST, ALT). V těchto případech je nutno okamžitě </w:t>
      </w:r>
      <w:bookmarkStart w:id="4" w:name="_Hlk234844314"/>
      <w:r w:rsidRPr="00383E22">
        <w:rPr>
          <w:szCs w:val="22"/>
        </w:rPr>
        <w:t>léčbu</w:t>
      </w:r>
      <w:r w:rsidR="00525365">
        <w:rPr>
          <w:szCs w:val="22"/>
        </w:rPr>
        <w:t xml:space="preserve"> ukončit</w:t>
      </w:r>
      <w:r w:rsidRPr="00383E22">
        <w:rPr>
          <w:szCs w:val="22"/>
        </w:rPr>
        <w:t xml:space="preserve"> a </w:t>
      </w:r>
      <w:r w:rsidR="00525365">
        <w:rPr>
          <w:szCs w:val="22"/>
        </w:rPr>
        <w:t xml:space="preserve">zahájit </w:t>
      </w:r>
      <w:bookmarkEnd w:id="4"/>
      <w:r w:rsidRPr="00383E22">
        <w:rPr>
          <w:szCs w:val="22"/>
        </w:rPr>
        <w:t>symptomatickou léčbu.</w:t>
      </w:r>
    </w:p>
    <w:p w14:paraId="36FA05E6" w14:textId="77777777" w:rsidR="00015194" w:rsidRPr="00383E22" w:rsidRDefault="00015194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3CD3206" w14:textId="294F4287" w:rsidR="009A6509" w:rsidRPr="00383E22" w:rsidRDefault="0081532F" w:rsidP="00B13B6D">
      <w:pPr>
        <w:pStyle w:val="Style1"/>
      </w:pPr>
      <w:r w:rsidRPr="00383E22">
        <w:t>3.11</w:t>
      </w:r>
      <w:r w:rsidRPr="00383E22">
        <w:tab/>
        <w:t>Zvláštní omezení pro použití a zvláštní podmínky pro použití, včetně omezení používání antimikrob</w:t>
      </w:r>
      <w:r w:rsidR="00202A85" w:rsidRPr="00383E22">
        <w:t>ních</w:t>
      </w:r>
      <w:r w:rsidRPr="00383E22">
        <w:t xml:space="preserve"> a antiparazitárních veterinárních léčivých přípravků, za účelem snížení rizika rozvoje rezistence</w:t>
      </w:r>
    </w:p>
    <w:p w14:paraId="1204C42F" w14:textId="77777777" w:rsidR="009A6509" w:rsidRPr="00383E22" w:rsidRDefault="009A6509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B24853D" w14:textId="2813C6C3" w:rsidR="009A6509" w:rsidRPr="00383E22" w:rsidRDefault="00015194" w:rsidP="009A6509">
      <w:pPr>
        <w:tabs>
          <w:tab w:val="clear" w:pos="567"/>
        </w:tabs>
        <w:spacing w:line="240" w:lineRule="auto"/>
        <w:rPr>
          <w:szCs w:val="22"/>
        </w:rPr>
      </w:pPr>
      <w:r w:rsidRPr="00383E22">
        <w:rPr>
          <w:szCs w:val="22"/>
        </w:rPr>
        <w:t>Neuplatňuje se.</w:t>
      </w:r>
    </w:p>
    <w:p w14:paraId="23184928" w14:textId="77777777" w:rsidR="009A6509" w:rsidRPr="00383E22" w:rsidRDefault="009A6509" w:rsidP="009A6509">
      <w:pPr>
        <w:tabs>
          <w:tab w:val="clear" w:pos="567"/>
        </w:tabs>
        <w:spacing w:line="240" w:lineRule="auto"/>
        <w:rPr>
          <w:szCs w:val="22"/>
        </w:rPr>
      </w:pPr>
    </w:p>
    <w:p w14:paraId="75BB4EC2" w14:textId="77777777" w:rsidR="00C114FF" w:rsidRPr="00383E22" w:rsidRDefault="0081532F" w:rsidP="00B13B6D">
      <w:pPr>
        <w:pStyle w:val="Style1"/>
      </w:pPr>
      <w:r w:rsidRPr="00383E22">
        <w:t>3.12</w:t>
      </w:r>
      <w:r w:rsidRPr="00383E22">
        <w:tab/>
        <w:t>Ochranné lhůty</w:t>
      </w:r>
    </w:p>
    <w:p w14:paraId="2DC95067" w14:textId="77777777" w:rsidR="00C114FF" w:rsidRPr="00383E22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1F1E56DD" w14:textId="28580CF8" w:rsidR="00C114FF" w:rsidRPr="00383E22" w:rsidRDefault="00015194" w:rsidP="00A9226B">
      <w:pPr>
        <w:tabs>
          <w:tab w:val="clear" w:pos="567"/>
        </w:tabs>
        <w:spacing w:line="240" w:lineRule="auto"/>
        <w:rPr>
          <w:szCs w:val="22"/>
        </w:rPr>
      </w:pPr>
      <w:r w:rsidRPr="00383E22">
        <w:rPr>
          <w:szCs w:val="22"/>
        </w:rPr>
        <w:t>Neuplatňuje se.</w:t>
      </w:r>
    </w:p>
    <w:p w14:paraId="7C1ADA1A" w14:textId="77777777" w:rsidR="003F4015" w:rsidRPr="00383E22" w:rsidRDefault="003F4015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A1B55BD" w14:textId="77777777" w:rsidR="00FC02F3" w:rsidRPr="00383E22" w:rsidRDefault="00FC02F3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5B50269" w14:textId="41A0EBF5" w:rsidR="00C114FF" w:rsidRPr="00383E22" w:rsidRDefault="00015194" w:rsidP="003F4015">
      <w:pPr>
        <w:pStyle w:val="Style1"/>
        <w:keepNext/>
      </w:pPr>
      <w:r w:rsidRPr="00383E22">
        <w:t>4.</w:t>
      </w:r>
      <w:r w:rsidRPr="00383E22">
        <w:tab/>
        <w:t xml:space="preserve">FARMAKOLOGICKÉ </w:t>
      </w:r>
      <w:r w:rsidR="0081532F" w:rsidRPr="00383E22">
        <w:t>INFORMACE</w:t>
      </w:r>
    </w:p>
    <w:p w14:paraId="2C2A4C50" w14:textId="77777777" w:rsidR="00C114FF" w:rsidRPr="00383E22" w:rsidRDefault="00C114FF" w:rsidP="003F4015">
      <w:pPr>
        <w:keepNext/>
        <w:tabs>
          <w:tab w:val="clear" w:pos="567"/>
        </w:tabs>
        <w:spacing w:line="240" w:lineRule="auto"/>
        <w:rPr>
          <w:szCs w:val="22"/>
        </w:rPr>
      </w:pPr>
    </w:p>
    <w:p w14:paraId="6C36BF74" w14:textId="3BEFEDBF" w:rsidR="00015194" w:rsidRPr="00383E22" w:rsidRDefault="0081532F" w:rsidP="003F4015">
      <w:pPr>
        <w:pStyle w:val="Style1"/>
        <w:keepNext/>
        <w:rPr>
          <w:b w:val="0"/>
        </w:rPr>
      </w:pPr>
      <w:r w:rsidRPr="00383E22">
        <w:t>4.1</w:t>
      </w:r>
      <w:r w:rsidRPr="00383E22">
        <w:tab/>
        <w:t>ATCvet kód:</w:t>
      </w:r>
      <w:r w:rsidR="00554C27" w:rsidRPr="00383E22">
        <w:t xml:space="preserve"> </w:t>
      </w:r>
      <w:r w:rsidR="00015194" w:rsidRPr="00383E22">
        <w:rPr>
          <w:b w:val="0"/>
        </w:rPr>
        <w:t>QJ01FF01</w:t>
      </w:r>
    </w:p>
    <w:p w14:paraId="5C965196" w14:textId="77777777" w:rsidR="00C114FF" w:rsidRPr="00383E22" w:rsidRDefault="00C114FF" w:rsidP="003F4015">
      <w:pPr>
        <w:keepNext/>
        <w:tabs>
          <w:tab w:val="clear" w:pos="567"/>
        </w:tabs>
        <w:spacing w:line="240" w:lineRule="auto"/>
        <w:rPr>
          <w:szCs w:val="22"/>
        </w:rPr>
      </w:pPr>
    </w:p>
    <w:p w14:paraId="0DC4C65B" w14:textId="3FBD3F7B" w:rsidR="00C114FF" w:rsidRPr="00383E22" w:rsidRDefault="0081532F" w:rsidP="003F4015">
      <w:pPr>
        <w:pStyle w:val="Style1"/>
        <w:keepNext/>
      </w:pPr>
      <w:r w:rsidRPr="00383E22">
        <w:t>4.</w:t>
      </w:r>
      <w:r w:rsidR="00015194" w:rsidRPr="00383E22">
        <w:t>2</w:t>
      </w:r>
      <w:r w:rsidR="00015194" w:rsidRPr="00383E22">
        <w:tab/>
        <w:t>Farmakodynamika</w:t>
      </w:r>
    </w:p>
    <w:p w14:paraId="50FA42E3" w14:textId="17310718" w:rsidR="00C114FF" w:rsidRPr="00383E22" w:rsidRDefault="00C114FF" w:rsidP="003F4015">
      <w:pPr>
        <w:keepNext/>
        <w:tabs>
          <w:tab w:val="clear" w:pos="567"/>
        </w:tabs>
        <w:spacing w:line="240" w:lineRule="auto"/>
        <w:rPr>
          <w:szCs w:val="22"/>
        </w:rPr>
      </w:pPr>
    </w:p>
    <w:p w14:paraId="03811F36" w14:textId="330E4A9B" w:rsidR="00015194" w:rsidRPr="00383E22" w:rsidRDefault="00015194" w:rsidP="00015194">
      <w:pPr>
        <w:jc w:val="both"/>
        <w:rPr>
          <w:szCs w:val="22"/>
        </w:rPr>
      </w:pPr>
      <w:r w:rsidRPr="00383E22">
        <w:rPr>
          <w:szCs w:val="22"/>
        </w:rPr>
        <w:t>Klindamycin je především bakteriostatické antibiotikum ze skupiny linkosamidů. Klindamycin je chlorovaný analog linkomycinu. Účinkuje inhibicí syntézy bakteriálních proteinů. Reverzibilní vazba na podjednotku 50 S bakteriálního ribozomu inhibuje translaci aminokyselin spojených s tRNA a tím brání prodlužování peptidového řetězce. Proto je mechanismus účinku klindamycinu především bakteriostatický.</w:t>
      </w:r>
    </w:p>
    <w:p w14:paraId="0B96FC90" w14:textId="77777777" w:rsidR="00015194" w:rsidRPr="00383E22" w:rsidRDefault="00015194" w:rsidP="00015194">
      <w:pPr>
        <w:jc w:val="both"/>
        <w:rPr>
          <w:szCs w:val="22"/>
        </w:rPr>
      </w:pPr>
      <w:r w:rsidRPr="00383E22">
        <w:rPr>
          <w:szCs w:val="22"/>
        </w:rPr>
        <w:t>Klindamycin a linkomycin vykazují zkříženou rezistenci, která je rovněž běžná mezi erythromycinem a jinými makrolidy.</w:t>
      </w:r>
    </w:p>
    <w:p w14:paraId="3A63DEA7" w14:textId="77777777" w:rsidR="00015194" w:rsidRPr="00383E22" w:rsidRDefault="00015194" w:rsidP="00015194">
      <w:pPr>
        <w:jc w:val="both"/>
        <w:rPr>
          <w:szCs w:val="22"/>
        </w:rPr>
      </w:pPr>
      <w:r w:rsidRPr="00383E22">
        <w:rPr>
          <w:szCs w:val="22"/>
        </w:rPr>
        <w:t>Může se objevit získaná rezistence a to prostřednictvím metylace ribozomálního vazebného místa. Bývá vyvolána chromozomální mutací u grampozitivních mikroorganismů nebo plazmidy zprostředkovanými mechanismy u gramnegativních mikroorganismů.</w:t>
      </w:r>
    </w:p>
    <w:p w14:paraId="24618B4E" w14:textId="77777777" w:rsidR="00015194" w:rsidRPr="00383E22" w:rsidRDefault="00015194" w:rsidP="00015194">
      <w:pPr>
        <w:jc w:val="both"/>
        <w:rPr>
          <w:szCs w:val="22"/>
        </w:rPr>
      </w:pPr>
    </w:p>
    <w:p w14:paraId="4D29F29F" w14:textId="77777777" w:rsidR="00015194" w:rsidRPr="00383E22" w:rsidRDefault="00015194" w:rsidP="00015194">
      <w:pPr>
        <w:autoSpaceDE w:val="0"/>
        <w:autoSpaceDN w:val="0"/>
        <w:adjustRightInd w:val="0"/>
        <w:jc w:val="both"/>
        <w:rPr>
          <w:szCs w:val="22"/>
        </w:rPr>
      </w:pPr>
      <w:r w:rsidRPr="00383E22">
        <w:rPr>
          <w:szCs w:val="22"/>
        </w:rPr>
        <w:t xml:space="preserve">Klindamycin vykazuje </w:t>
      </w:r>
      <w:r w:rsidRPr="00383E22">
        <w:rPr>
          <w:i/>
          <w:szCs w:val="22"/>
        </w:rPr>
        <w:t>in vitro</w:t>
      </w:r>
      <w:r w:rsidRPr="00383E22">
        <w:rPr>
          <w:szCs w:val="22"/>
        </w:rPr>
        <w:t xml:space="preserve"> působení proti následujícím mikroorganismům (viz následující minimální inhibiční koncentrace /MIC/):</w:t>
      </w:r>
    </w:p>
    <w:p w14:paraId="5D4D9BF2" w14:textId="77777777" w:rsidR="00015194" w:rsidRPr="00383E22" w:rsidRDefault="00015194" w:rsidP="00015194">
      <w:pPr>
        <w:numPr>
          <w:ilvl w:val="0"/>
          <w:numId w:val="44"/>
        </w:numPr>
        <w:tabs>
          <w:tab w:val="clear" w:pos="567"/>
        </w:tabs>
        <w:autoSpaceDE w:val="0"/>
        <w:autoSpaceDN w:val="0"/>
        <w:adjustRightInd w:val="0"/>
        <w:spacing w:line="240" w:lineRule="auto"/>
        <w:jc w:val="both"/>
        <w:rPr>
          <w:i/>
          <w:iCs/>
          <w:szCs w:val="22"/>
        </w:rPr>
      </w:pPr>
      <w:r w:rsidRPr="00383E22">
        <w:rPr>
          <w:szCs w:val="22"/>
        </w:rPr>
        <w:t xml:space="preserve">Aerobní grampozitivní koky, včetně: </w:t>
      </w:r>
      <w:r w:rsidRPr="00383E22">
        <w:rPr>
          <w:i/>
          <w:szCs w:val="22"/>
        </w:rPr>
        <w:t>Staphylococcus aureus a Staphylococcus</w:t>
      </w:r>
    </w:p>
    <w:p w14:paraId="0564791F" w14:textId="77777777" w:rsidR="00015194" w:rsidRPr="00383E22" w:rsidRDefault="00015194" w:rsidP="00015194">
      <w:pPr>
        <w:autoSpaceDE w:val="0"/>
        <w:autoSpaceDN w:val="0"/>
        <w:adjustRightInd w:val="0"/>
        <w:jc w:val="both"/>
        <w:rPr>
          <w:i/>
          <w:iCs/>
          <w:szCs w:val="22"/>
        </w:rPr>
      </w:pPr>
      <w:r w:rsidRPr="00383E22">
        <w:rPr>
          <w:i/>
          <w:szCs w:val="22"/>
        </w:rPr>
        <w:t>pseudintermedius</w:t>
      </w:r>
      <w:r w:rsidRPr="00383E22">
        <w:rPr>
          <w:szCs w:val="22"/>
        </w:rPr>
        <w:t xml:space="preserve"> (druhy vytvářející a nevytvářející penicilinázu, rod </w:t>
      </w:r>
      <w:r w:rsidRPr="00383E22">
        <w:rPr>
          <w:i/>
          <w:szCs w:val="22"/>
        </w:rPr>
        <w:t>Streptococcus</w:t>
      </w:r>
    </w:p>
    <w:p w14:paraId="7A874471" w14:textId="77777777" w:rsidR="00015194" w:rsidRPr="00383E22" w:rsidRDefault="00015194" w:rsidP="00015194">
      <w:pPr>
        <w:autoSpaceDE w:val="0"/>
        <w:autoSpaceDN w:val="0"/>
        <w:adjustRightInd w:val="0"/>
        <w:jc w:val="both"/>
        <w:rPr>
          <w:i/>
          <w:iCs/>
          <w:szCs w:val="22"/>
        </w:rPr>
      </w:pPr>
      <w:r w:rsidRPr="00383E22">
        <w:rPr>
          <w:szCs w:val="22"/>
        </w:rPr>
        <w:t xml:space="preserve">(kromě </w:t>
      </w:r>
      <w:r w:rsidRPr="00383E22">
        <w:rPr>
          <w:i/>
          <w:szCs w:val="22"/>
        </w:rPr>
        <w:t>Enterococcus faecalis</w:t>
      </w:r>
      <w:r w:rsidRPr="00383E22">
        <w:rPr>
          <w:szCs w:val="22"/>
        </w:rPr>
        <w:t>).</w:t>
      </w:r>
    </w:p>
    <w:p w14:paraId="3259AD5F" w14:textId="77777777" w:rsidR="00015194" w:rsidRPr="00383E22" w:rsidRDefault="00015194" w:rsidP="00015194">
      <w:pPr>
        <w:numPr>
          <w:ilvl w:val="0"/>
          <w:numId w:val="43"/>
        </w:numPr>
        <w:tabs>
          <w:tab w:val="clear" w:pos="567"/>
        </w:tabs>
        <w:autoSpaceDE w:val="0"/>
        <w:autoSpaceDN w:val="0"/>
        <w:adjustRightInd w:val="0"/>
        <w:spacing w:line="240" w:lineRule="auto"/>
        <w:jc w:val="both"/>
        <w:rPr>
          <w:i/>
          <w:iCs/>
          <w:szCs w:val="22"/>
        </w:rPr>
      </w:pPr>
      <w:r w:rsidRPr="00383E22">
        <w:rPr>
          <w:szCs w:val="22"/>
        </w:rPr>
        <w:t xml:space="preserve">Anaerobní gramnegativní tyčinky, včetně: </w:t>
      </w:r>
      <w:r w:rsidRPr="00383E22">
        <w:rPr>
          <w:i/>
          <w:szCs w:val="22"/>
        </w:rPr>
        <w:t>rodu Bacteroides, Fusobacterium necrophorum.</w:t>
      </w:r>
    </w:p>
    <w:p w14:paraId="355CD4FA" w14:textId="77777777" w:rsidR="00015194" w:rsidRPr="00383E22" w:rsidRDefault="00015194" w:rsidP="00015194">
      <w:pPr>
        <w:numPr>
          <w:ilvl w:val="0"/>
          <w:numId w:val="43"/>
        </w:numPr>
        <w:tabs>
          <w:tab w:val="clear" w:pos="567"/>
        </w:tabs>
        <w:autoSpaceDE w:val="0"/>
        <w:autoSpaceDN w:val="0"/>
        <w:adjustRightInd w:val="0"/>
        <w:spacing w:line="240" w:lineRule="auto"/>
        <w:jc w:val="both"/>
        <w:rPr>
          <w:szCs w:val="22"/>
        </w:rPr>
      </w:pPr>
      <w:r w:rsidRPr="00383E22">
        <w:rPr>
          <w:szCs w:val="22"/>
        </w:rPr>
        <w:t xml:space="preserve">Klostridia: Většina zástupců </w:t>
      </w:r>
      <w:r w:rsidRPr="00383E22">
        <w:rPr>
          <w:i/>
          <w:szCs w:val="22"/>
        </w:rPr>
        <w:t>Clostridium</w:t>
      </w:r>
      <w:r w:rsidRPr="00383E22">
        <w:rPr>
          <w:szCs w:val="22"/>
        </w:rPr>
        <w:t xml:space="preserve"> </w:t>
      </w:r>
      <w:r w:rsidRPr="00383E22">
        <w:rPr>
          <w:i/>
          <w:szCs w:val="22"/>
        </w:rPr>
        <w:t>perfringens</w:t>
      </w:r>
      <w:r w:rsidRPr="00383E22">
        <w:rPr>
          <w:szCs w:val="22"/>
        </w:rPr>
        <w:t xml:space="preserve"> je citlivá.</w:t>
      </w:r>
    </w:p>
    <w:p w14:paraId="45634EE4" w14:textId="77777777" w:rsidR="00015194" w:rsidRPr="00383E22" w:rsidRDefault="00015194" w:rsidP="00015194">
      <w:pPr>
        <w:autoSpaceDE w:val="0"/>
        <w:autoSpaceDN w:val="0"/>
        <w:adjustRightInd w:val="0"/>
        <w:ind w:left="780"/>
        <w:jc w:val="both"/>
        <w:rPr>
          <w:szCs w:val="22"/>
        </w:rPr>
      </w:pPr>
    </w:p>
    <w:p w14:paraId="0DD65307" w14:textId="77777777" w:rsidR="00015194" w:rsidRPr="00383E22" w:rsidRDefault="00015194" w:rsidP="00015194">
      <w:pPr>
        <w:autoSpaceDE w:val="0"/>
        <w:autoSpaceDN w:val="0"/>
        <w:adjustRightInd w:val="0"/>
        <w:jc w:val="both"/>
        <w:rPr>
          <w:b/>
          <w:bCs/>
          <w:szCs w:val="22"/>
        </w:rPr>
      </w:pPr>
      <w:r w:rsidRPr="00383E22">
        <w:rPr>
          <w:b/>
          <w:szCs w:val="22"/>
        </w:rPr>
        <w:t>Údaje o minimální inhibiční koncentraci (MIC)</w:t>
      </w:r>
    </w:p>
    <w:p w14:paraId="723BF0FB" w14:textId="4650E0DE" w:rsidR="00015194" w:rsidRPr="00383E22" w:rsidRDefault="00015194" w:rsidP="00015194">
      <w:pPr>
        <w:autoSpaceDE w:val="0"/>
        <w:autoSpaceDN w:val="0"/>
        <w:adjustRightInd w:val="0"/>
        <w:jc w:val="both"/>
        <w:rPr>
          <w:szCs w:val="22"/>
        </w:rPr>
      </w:pPr>
      <w:r w:rsidRPr="00383E22">
        <w:rPr>
          <w:szCs w:val="22"/>
        </w:rPr>
        <w:t xml:space="preserve">CLSI veterinární hraniční hodnoty pro klindamycin u infekce kůže a měkkých tkání psů </w:t>
      </w:r>
      <w:r w:rsidR="00525365">
        <w:rPr>
          <w:szCs w:val="22"/>
        </w:rPr>
        <w:t xml:space="preserve">vyolaných </w:t>
      </w:r>
      <w:r w:rsidRPr="00383E22">
        <w:rPr>
          <w:szCs w:val="22"/>
        </w:rPr>
        <w:t xml:space="preserve">rodem </w:t>
      </w:r>
      <w:r w:rsidRPr="00383E22">
        <w:rPr>
          <w:i/>
          <w:szCs w:val="22"/>
        </w:rPr>
        <w:t>Staphylococcus</w:t>
      </w:r>
      <w:r w:rsidRPr="00383E22">
        <w:rPr>
          <w:szCs w:val="22"/>
        </w:rPr>
        <w:t xml:space="preserve"> a skupinou beta-hemolytických streptokoků: </w:t>
      </w:r>
    </w:p>
    <w:p w14:paraId="0098CB4B" w14:textId="77777777" w:rsidR="00015194" w:rsidRPr="00383E22" w:rsidRDefault="00015194" w:rsidP="00015194">
      <w:pPr>
        <w:autoSpaceDE w:val="0"/>
        <w:autoSpaceDN w:val="0"/>
        <w:adjustRightInd w:val="0"/>
        <w:jc w:val="both"/>
        <w:rPr>
          <w:szCs w:val="22"/>
        </w:rPr>
      </w:pPr>
      <w:r w:rsidRPr="00383E22">
        <w:rPr>
          <w:szCs w:val="22"/>
        </w:rPr>
        <w:t xml:space="preserve">C (citlivé) ≤ 0,5 μg/ml; I (intermediárně citlivé) =1-2 μg/ml; </w:t>
      </w:r>
    </w:p>
    <w:p w14:paraId="00BBA456" w14:textId="27CF8635" w:rsidR="00015194" w:rsidRPr="00383E22" w:rsidRDefault="00015194" w:rsidP="00015194">
      <w:pPr>
        <w:autoSpaceDE w:val="0"/>
        <w:autoSpaceDN w:val="0"/>
        <w:adjustRightInd w:val="0"/>
        <w:jc w:val="both"/>
        <w:rPr>
          <w:szCs w:val="22"/>
        </w:rPr>
      </w:pPr>
      <w:r w:rsidRPr="00383E22">
        <w:rPr>
          <w:szCs w:val="22"/>
        </w:rPr>
        <w:t>R (rezistentní) ≥ 4 μg/ml. (CLSI červenec 2013).</w:t>
      </w:r>
    </w:p>
    <w:p w14:paraId="399C318A" w14:textId="77777777" w:rsidR="00015194" w:rsidRPr="00383E22" w:rsidRDefault="00015194" w:rsidP="00015194">
      <w:pPr>
        <w:autoSpaceDE w:val="0"/>
        <w:autoSpaceDN w:val="0"/>
        <w:adjustRightInd w:val="0"/>
        <w:jc w:val="both"/>
        <w:rPr>
          <w:szCs w:val="22"/>
        </w:rPr>
      </w:pPr>
    </w:p>
    <w:p w14:paraId="4EE9D5EC" w14:textId="06F1F44A" w:rsidR="00015194" w:rsidRPr="00383E22" w:rsidRDefault="00015194" w:rsidP="00015194">
      <w:pPr>
        <w:autoSpaceDE w:val="0"/>
        <w:autoSpaceDN w:val="0"/>
        <w:adjustRightInd w:val="0"/>
        <w:jc w:val="both"/>
        <w:rPr>
          <w:szCs w:val="22"/>
        </w:rPr>
      </w:pPr>
      <w:r w:rsidRPr="00383E22">
        <w:rPr>
          <w:szCs w:val="22"/>
        </w:rPr>
        <w:t xml:space="preserve">Incidence rezistence k linkosamidům u rodu </w:t>
      </w:r>
      <w:r w:rsidRPr="00383E22">
        <w:rPr>
          <w:i/>
          <w:szCs w:val="22"/>
        </w:rPr>
        <w:t>Staphylococcus</w:t>
      </w:r>
      <w:r w:rsidRPr="00383E22">
        <w:rPr>
          <w:szCs w:val="22"/>
        </w:rPr>
        <w:t xml:space="preserve"> je v Evropě široce rozšířena. Nedávné studie (2010) uvádějí výskyt mezi 25 a 40 %.</w:t>
      </w:r>
    </w:p>
    <w:p w14:paraId="1C28A461" w14:textId="77777777" w:rsidR="00015194" w:rsidRPr="00383E22" w:rsidRDefault="00015194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BE4D04A" w14:textId="634D9EE7" w:rsidR="00C114FF" w:rsidRPr="00383E22" w:rsidRDefault="00015194" w:rsidP="00B13B6D">
      <w:pPr>
        <w:pStyle w:val="Style1"/>
      </w:pPr>
      <w:r w:rsidRPr="00383E22">
        <w:t>4.3</w:t>
      </w:r>
      <w:r w:rsidRPr="00383E22">
        <w:tab/>
        <w:t>Farmakokinetika</w:t>
      </w:r>
    </w:p>
    <w:p w14:paraId="10F7B5D1" w14:textId="757D1342" w:rsidR="00C114FF" w:rsidRPr="00383E22" w:rsidRDefault="00C114FF" w:rsidP="003F0BC8">
      <w:pPr>
        <w:tabs>
          <w:tab w:val="clear" w:pos="567"/>
          <w:tab w:val="left" w:pos="0"/>
        </w:tabs>
        <w:spacing w:line="240" w:lineRule="auto"/>
        <w:rPr>
          <w:b/>
          <w:szCs w:val="22"/>
        </w:rPr>
      </w:pPr>
    </w:p>
    <w:p w14:paraId="4453957F" w14:textId="5F5C65C3" w:rsidR="00015194" w:rsidRPr="00383E22" w:rsidRDefault="00015194" w:rsidP="005936AC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383E22">
        <w:rPr>
          <w:szCs w:val="22"/>
        </w:rPr>
        <w:t>Klindamycin se po perorálním podání téměř úplně vstřebává. Maximální sérové koncentrace 8 µg/ml (bez vlivu bolusu) byly dosaženy 1 hodinu po dávce 11 mg na kg.</w:t>
      </w:r>
    </w:p>
    <w:p w14:paraId="559AF44A" w14:textId="78E7A92F" w:rsidR="00015194" w:rsidRPr="00383E22" w:rsidRDefault="00015194" w:rsidP="005936AC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383E22">
        <w:rPr>
          <w:szCs w:val="22"/>
        </w:rPr>
        <w:t>Klindamycin je široce distribuován a může se koncentrovat v některých tkáních.</w:t>
      </w:r>
    </w:p>
    <w:p w14:paraId="0A06DF6E" w14:textId="76B8C0C1" w:rsidR="00C114FF" w:rsidRPr="00383E22" w:rsidRDefault="00015194" w:rsidP="005936AC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383E22">
        <w:rPr>
          <w:szCs w:val="22"/>
        </w:rPr>
        <w:t>Biologický poločas klindamycinu je asi 4 hodiny. Cca 70 % klindamycinu je vylučováno ve výkalech a asi 30 % se vyloučí v moči.</w:t>
      </w:r>
    </w:p>
    <w:p w14:paraId="4DFA12E7" w14:textId="77777777" w:rsidR="00015194" w:rsidRPr="00383E22" w:rsidRDefault="00015194" w:rsidP="00015194">
      <w:pPr>
        <w:tabs>
          <w:tab w:val="clear" w:pos="567"/>
        </w:tabs>
        <w:spacing w:line="240" w:lineRule="auto"/>
        <w:rPr>
          <w:szCs w:val="22"/>
        </w:rPr>
      </w:pPr>
    </w:p>
    <w:p w14:paraId="44B643E5" w14:textId="77777777" w:rsidR="00C114FF" w:rsidRPr="00383E22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F57863B" w14:textId="77777777" w:rsidR="00C114FF" w:rsidRPr="00383E22" w:rsidRDefault="0081532F" w:rsidP="00B13B6D">
      <w:pPr>
        <w:pStyle w:val="Style1"/>
      </w:pPr>
      <w:r w:rsidRPr="00383E22">
        <w:t>5.</w:t>
      </w:r>
      <w:r w:rsidRPr="00383E22">
        <w:tab/>
        <w:t>FARMACEUTICKÉ ÚDAJE</w:t>
      </w:r>
    </w:p>
    <w:p w14:paraId="7BC53755" w14:textId="77777777" w:rsidR="00C114FF" w:rsidRPr="00383E22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7E8B708" w14:textId="77777777" w:rsidR="00C114FF" w:rsidRPr="00383E22" w:rsidRDefault="0081532F" w:rsidP="00B13B6D">
      <w:pPr>
        <w:pStyle w:val="Style1"/>
      </w:pPr>
      <w:r w:rsidRPr="00383E22">
        <w:t>5.1</w:t>
      </w:r>
      <w:r w:rsidRPr="00383E22">
        <w:tab/>
        <w:t>Hlavní inkompatibility</w:t>
      </w:r>
    </w:p>
    <w:p w14:paraId="15C29130" w14:textId="77777777" w:rsidR="00C114FF" w:rsidRPr="00383E22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177B42A5" w14:textId="77777777" w:rsidR="00015194" w:rsidRPr="00383E22" w:rsidRDefault="00015194" w:rsidP="00015194">
      <w:pPr>
        <w:jc w:val="both"/>
        <w:rPr>
          <w:szCs w:val="22"/>
        </w:rPr>
      </w:pPr>
      <w:r w:rsidRPr="00383E22">
        <w:rPr>
          <w:szCs w:val="22"/>
        </w:rPr>
        <w:t>Tento veterinární léčivý přípravek nesmí být mísen s žádnými dalšími veterinárními léčivými přípravky.</w:t>
      </w:r>
    </w:p>
    <w:p w14:paraId="288F0D5C" w14:textId="77777777" w:rsidR="00C114FF" w:rsidRPr="00383E22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3005D63" w14:textId="77777777" w:rsidR="00C114FF" w:rsidRPr="00383E22" w:rsidRDefault="0081532F" w:rsidP="00B13B6D">
      <w:pPr>
        <w:pStyle w:val="Style1"/>
      </w:pPr>
      <w:r w:rsidRPr="00383E22">
        <w:t>5.2</w:t>
      </w:r>
      <w:r w:rsidRPr="00383E22">
        <w:tab/>
        <w:t>Doba použitelnosti</w:t>
      </w:r>
    </w:p>
    <w:p w14:paraId="100B6613" w14:textId="77777777" w:rsidR="00C114FF" w:rsidRPr="00383E22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01CFD1E9" w14:textId="77777777" w:rsidR="00015194" w:rsidRPr="00383E22" w:rsidRDefault="00015194" w:rsidP="00015194">
      <w:pPr>
        <w:rPr>
          <w:szCs w:val="22"/>
        </w:rPr>
      </w:pPr>
      <w:r w:rsidRPr="00383E22">
        <w:rPr>
          <w:szCs w:val="22"/>
        </w:rPr>
        <w:t>Doba použitelnosti veterinárního léčivého přípravku v neporušeném obalu: 1 rok (PET lahvička).</w:t>
      </w:r>
    </w:p>
    <w:p w14:paraId="1CB49B3B" w14:textId="77777777" w:rsidR="00015194" w:rsidRPr="00383E22" w:rsidRDefault="00015194" w:rsidP="00015194">
      <w:pPr>
        <w:rPr>
          <w:szCs w:val="22"/>
        </w:rPr>
      </w:pPr>
      <w:r w:rsidRPr="00383E22">
        <w:rPr>
          <w:szCs w:val="22"/>
        </w:rPr>
        <w:t>Doba použitelnosti veterinárního léčivého přípravku v neporušeném obalu: 3 roky (skleněná lahvička).</w:t>
      </w:r>
    </w:p>
    <w:p w14:paraId="57B3FA21" w14:textId="77777777" w:rsidR="00015194" w:rsidRPr="00383E22" w:rsidRDefault="00015194" w:rsidP="00015194">
      <w:pPr>
        <w:rPr>
          <w:szCs w:val="22"/>
        </w:rPr>
      </w:pPr>
      <w:r w:rsidRPr="00383E22">
        <w:rPr>
          <w:szCs w:val="22"/>
        </w:rPr>
        <w:t>Doba použitelnosti po prvním otevření vnitřního obalu: 28 dnů.</w:t>
      </w:r>
    </w:p>
    <w:p w14:paraId="4CD9C987" w14:textId="77777777" w:rsidR="00C114FF" w:rsidRPr="00383E22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A152485" w14:textId="77777777" w:rsidR="00C114FF" w:rsidRPr="00383E22" w:rsidRDefault="0081532F" w:rsidP="00B13B6D">
      <w:pPr>
        <w:pStyle w:val="Style1"/>
      </w:pPr>
      <w:r w:rsidRPr="00383E22">
        <w:t>5.3</w:t>
      </w:r>
      <w:r w:rsidRPr="00383E22">
        <w:tab/>
        <w:t>Zvláštní opatření pro uchovávání</w:t>
      </w:r>
    </w:p>
    <w:p w14:paraId="7826F268" w14:textId="56DB2163" w:rsidR="00C114FF" w:rsidRPr="00383E22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2F9CA96F" w14:textId="339F9727" w:rsidR="00015194" w:rsidRPr="00383E22" w:rsidRDefault="00015194" w:rsidP="00015194">
      <w:pPr>
        <w:rPr>
          <w:szCs w:val="22"/>
        </w:rPr>
      </w:pPr>
      <w:r w:rsidRPr="00383E22">
        <w:rPr>
          <w:szCs w:val="22"/>
        </w:rPr>
        <w:t xml:space="preserve">Tento veterinární přípravek nevyžaduje žádné zvláštní podmínky uchovávání. </w:t>
      </w:r>
    </w:p>
    <w:p w14:paraId="205A4A8C" w14:textId="77777777" w:rsidR="00C114FF" w:rsidRPr="00383E22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2EAA46B" w14:textId="56CE0F50" w:rsidR="00C114FF" w:rsidRPr="00383E22" w:rsidRDefault="0081532F" w:rsidP="00B13B6D">
      <w:pPr>
        <w:pStyle w:val="Style1"/>
      </w:pPr>
      <w:r w:rsidRPr="00383E22">
        <w:t>5.4</w:t>
      </w:r>
      <w:r w:rsidRPr="00383E22">
        <w:tab/>
        <w:t>Druh a složení vnitřního obalu</w:t>
      </w:r>
    </w:p>
    <w:p w14:paraId="3EB26241" w14:textId="77777777" w:rsidR="00C114FF" w:rsidRPr="00383E22" w:rsidRDefault="00C114FF" w:rsidP="005E66FC">
      <w:pPr>
        <w:pStyle w:val="Style1"/>
      </w:pPr>
    </w:p>
    <w:p w14:paraId="06195175" w14:textId="77777777" w:rsidR="00015194" w:rsidRPr="00383E22" w:rsidRDefault="00015194" w:rsidP="00015194">
      <w:pPr>
        <w:ind w:right="-720" w:firstLine="11"/>
        <w:rPr>
          <w:szCs w:val="22"/>
        </w:rPr>
      </w:pPr>
      <w:r w:rsidRPr="00383E22">
        <w:rPr>
          <w:szCs w:val="22"/>
        </w:rPr>
        <w:t>Papírová krabička obsahující čirou 22ml lahvičku z polyethylentereftalátu (PET) nebo hnědou skleněnou lahvičku typu III s HDPE/LDPE víčkem nebo polypropylenovým víčkem s ochranou proti neoprávněné manipulaci, dodávanou s odměrnou stříkačkou z polyethylenu s nízkou hustotou.</w:t>
      </w:r>
    </w:p>
    <w:p w14:paraId="584B339F" w14:textId="77777777" w:rsidR="00C114FF" w:rsidRPr="00383E22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80835CC" w14:textId="74323501" w:rsidR="00C114FF" w:rsidRPr="00383E22" w:rsidRDefault="0081532F" w:rsidP="003F4015">
      <w:pPr>
        <w:pStyle w:val="Style1"/>
        <w:keepNext/>
      </w:pPr>
      <w:r w:rsidRPr="00383E22">
        <w:t>5.5</w:t>
      </w:r>
      <w:r w:rsidRPr="00383E22">
        <w:tab/>
        <w:t xml:space="preserve">Zvláštní opatření pro </w:t>
      </w:r>
      <w:r w:rsidR="00CF069C" w:rsidRPr="00383E22">
        <w:t xml:space="preserve">likvidaci </w:t>
      </w:r>
      <w:r w:rsidRPr="00383E22">
        <w:t>nepoužit</w:t>
      </w:r>
      <w:r w:rsidR="002F64C6" w:rsidRPr="00383E22">
        <w:t>ých</w:t>
      </w:r>
      <w:r w:rsidR="00905CAB" w:rsidRPr="00383E22">
        <w:t xml:space="preserve"> </w:t>
      </w:r>
      <w:r w:rsidRPr="00383E22">
        <w:t>veterinární</w:t>
      </w:r>
      <w:r w:rsidR="002F64C6" w:rsidRPr="00383E22">
        <w:t>ch</w:t>
      </w:r>
      <w:r w:rsidRPr="00383E22">
        <w:t xml:space="preserve"> léčiv</w:t>
      </w:r>
      <w:r w:rsidR="002F64C6" w:rsidRPr="00383E22">
        <w:t>ých</w:t>
      </w:r>
      <w:r w:rsidRPr="00383E22">
        <w:t xml:space="preserve"> přípravk</w:t>
      </w:r>
      <w:r w:rsidR="002F64C6" w:rsidRPr="00383E22">
        <w:t>ů</w:t>
      </w:r>
      <w:r w:rsidRPr="00383E22">
        <w:t xml:space="preserve"> nebo odpad</w:t>
      </w:r>
      <w:r w:rsidR="00F84AED" w:rsidRPr="00383E22">
        <w:t>ů</w:t>
      </w:r>
      <w:r w:rsidR="00B36E65" w:rsidRPr="00383E22">
        <w:t>, kter</w:t>
      </w:r>
      <w:r w:rsidR="00F84AED" w:rsidRPr="00383E22">
        <w:t>é</w:t>
      </w:r>
      <w:r w:rsidRPr="00383E22">
        <w:t xml:space="preserve"> pocház</w:t>
      </w:r>
      <w:r w:rsidR="00B36E65" w:rsidRPr="00383E22">
        <w:t>í</w:t>
      </w:r>
      <w:r w:rsidRPr="00383E22">
        <w:t xml:space="preserve"> z</w:t>
      </w:r>
      <w:r w:rsidR="002F64C6" w:rsidRPr="00383E22">
        <w:t> </w:t>
      </w:r>
      <w:r w:rsidRPr="00383E22">
        <w:t>t</w:t>
      </w:r>
      <w:r w:rsidR="002F64C6" w:rsidRPr="00383E22">
        <w:t xml:space="preserve">ěchto </w:t>
      </w:r>
      <w:r w:rsidRPr="00383E22">
        <w:t>přípravk</w:t>
      </w:r>
      <w:r w:rsidR="002F64C6" w:rsidRPr="00383E22">
        <w:t>ů</w:t>
      </w:r>
    </w:p>
    <w:p w14:paraId="4E04C78C" w14:textId="77777777" w:rsidR="00C114FF" w:rsidRPr="00383E22" w:rsidRDefault="00C114FF" w:rsidP="003F4015">
      <w:pPr>
        <w:keepNext/>
        <w:tabs>
          <w:tab w:val="clear" w:pos="567"/>
        </w:tabs>
        <w:spacing w:line="240" w:lineRule="auto"/>
        <w:rPr>
          <w:szCs w:val="22"/>
        </w:rPr>
      </w:pPr>
    </w:p>
    <w:p w14:paraId="28682A0A" w14:textId="150FFA4D" w:rsidR="00FD1E45" w:rsidRPr="00383E22" w:rsidRDefault="0081532F" w:rsidP="00FD1E45">
      <w:pPr>
        <w:rPr>
          <w:szCs w:val="22"/>
        </w:rPr>
      </w:pPr>
      <w:r w:rsidRPr="00383E22">
        <w:rPr>
          <w:szCs w:val="22"/>
        </w:rPr>
        <w:t>Léčivé přípravky se nesmí likvidova</w:t>
      </w:r>
      <w:r w:rsidR="00015194" w:rsidRPr="00383E22">
        <w:rPr>
          <w:szCs w:val="22"/>
        </w:rPr>
        <w:t xml:space="preserve">t prostřednictvím odpadní </w:t>
      </w:r>
      <w:r w:rsidR="00015194" w:rsidRPr="001D41CA">
        <w:rPr>
          <w:szCs w:val="22"/>
        </w:rPr>
        <w:t xml:space="preserve">vody </w:t>
      </w:r>
      <w:r w:rsidR="00015194" w:rsidRPr="005936AC">
        <w:rPr>
          <w:szCs w:val="22"/>
        </w:rPr>
        <w:t>či domovního odpadu</w:t>
      </w:r>
      <w:r w:rsidRPr="00383E22">
        <w:rPr>
          <w:szCs w:val="22"/>
        </w:rPr>
        <w:t>.</w:t>
      </w:r>
    </w:p>
    <w:p w14:paraId="44A5EE14" w14:textId="785358FC" w:rsidR="00FD1E45" w:rsidRPr="00383E22" w:rsidRDefault="00FD1E45" w:rsidP="00FD1E45">
      <w:pPr>
        <w:tabs>
          <w:tab w:val="clear" w:pos="567"/>
        </w:tabs>
        <w:spacing w:line="240" w:lineRule="auto"/>
        <w:rPr>
          <w:szCs w:val="22"/>
        </w:rPr>
      </w:pPr>
    </w:p>
    <w:p w14:paraId="2CAB4DC2" w14:textId="205FA5BB" w:rsidR="0078538F" w:rsidRPr="00383E22" w:rsidRDefault="0081532F" w:rsidP="00FD1E45">
      <w:pPr>
        <w:tabs>
          <w:tab w:val="clear" w:pos="567"/>
        </w:tabs>
        <w:spacing w:line="240" w:lineRule="auto"/>
        <w:rPr>
          <w:szCs w:val="22"/>
        </w:rPr>
      </w:pPr>
      <w:r w:rsidRPr="00383E22">
        <w:rPr>
          <w:szCs w:val="22"/>
        </w:rPr>
        <w:t>Všechen n</w:t>
      </w:r>
      <w:r w:rsidR="00DA2A06" w:rsidRPr="00383E22">
        <w:rPr>
          <w:szCs w:val="22"/>
        </w:rPr>
        <w:t xml:space="preserve">epoužitý veterinární léčivý přípravek nebo </w:t>
      </w:r>
      <w:r w:rsidR="00905CAB" w:rsidRPr="00383E22">
        <w:rPr>
          <w:szCs w:val="22"/>
        </w:rPr>
        <w:t>odpad, který pochází z tohoto přípravku,</w:t>
      </w:r>
      <w:r w:rsidR="00DA2A06" w:rsidRPr="00383E22">
        <w:rPr>
          <w:szCs w:val="22"/>
        </w:rPr>
        <w:t xml:space="preserve"> </w:t>
      </w:r>
      <w:r w:rsidR="004C0568" w:rsidRPr="00383E22">
        <w:rPr>
          <w:szCs w:val="22"/>
        </w:rPr>
        <w:t xml:space="preserve">likvidujte </w:t>
      </w:r>
      <w:r w:rsidR="007464DA" w:rsidRPr="00383E22">
        <w:rPr>
          <w:szCs w:val="22"/>
        </w:rPr>
        <w:t>odevzdáním</w:t>
      </w:r>
      <w:r w:rsidR="00730908" w:rsidRPr="00383E22">
        <w:rPr>
          <w:szCs w:val="22"/>
        </w:rPr>
        <w:t xml:space="preserve"> </w:t>
      </w:r>
      <w:r w:rsidR="00DA2A06" w:rsidRPr="00383E22">
        <w:rPr>
          <w:szCs w:val="22"/>
        </w:rPr>
        <w:t>v souladu s místními požadavky a národními systémy sběru, které jsou platné pro příslušný veterinární léčivý přípravek.</w:t>
      </w:r>
    </w:p>
    <w:p w14:paraId="42D2D2CF" w14:textId="77777777" w:rsidR="0078538F" w:rsidRPr="00383E22" w:rsidRDefault="0078538F" w:rsidP="00FD1E45">
      <w:pPr>
        <w:tabs>
          <w:tab w:val="clear" w:pos="567"/>
        </w:tabs>
        <w:spacing w:line="240" w:lineRule="auto"/>
        <w:rPr>
          <w:szCs w:val="22"/>
        </w:rPr>
      </w:pPr>
    </w:p>
    <w:p w14:paraId="06949C1A" w14:textId="77777777" w:rsidR="00C114FF" w:rsidRPr="00383E22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E3550B0" w14:textId="77777777" w:rsidR="00C114FF" w:rsidRPr="00383E22" w:rsidRDefault="0081532F" w:rsidP="00B13B6D">
      <w:pPr>
        <w:pStyle w:val="Style1"/>
      </w:pPr>
      <w:r w:rsidRPr="00383E22">
        <w:t>6.</w:t>
      </w:r>
      <w:r w:rsidRPr="00383E22">
        <w:tab/>
        <w:t>JMÉNO DRŽITELE ROZHODNUTÍ O REGISTRACI</w:t>
      </w:r>
    </w:p>
    <w:p w14:paraId="2E652F1A" w14:textId="77777777" w:rsidR="00C114FF" w:rsidRPr="00383E22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51E38E34" w14:textId="77777777" w:rsidR="00015194" w:rsidRPr="00383E22" w:rsidRDefault="00015194" w:rsidP="00015194">
      <w:pPr>
        <w:tabs>
          <w:tab w:val="clear" w:pos="567"/>
        </w:tabs>
        <w:spacing w:line="240" w:lineRule="auto"/>
        <w:rPr>
          <w:szCs w:val="22"/>
        </w:rPr>
      </w:pPr>
      <w:r w:rsidRPr="00383E22">
        <w:rPr>
          <w:szCs w:val="22"/>
        </w:rPr>
        <w:t>Chanelle Pharmaceuticals Manufacturing Limited</w:t>
      </w:r>
    </w:p>
    <w:p w14:paraId="1F61240C" w14:textId="77777777" w:rsidR="00C114FF" w:rsidRPr="00383E22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CB09C60" w14:textId="77777777" w:rsidR="00C114FF" w:rsidRPr="00383E22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E6BFBAC" w14:textId="77777777" w:rsidR="00C114FF" w:rsidRPr="00383E22" w:rsidRDefault="0081532F" w:rsidP="00B13B6D">
      <w:pPr>
        <w:pStyle w:val="Style1"/>
      </w:pPr>
      <w:r w:rsidRPr="00383E22">
        <w:t>7.</w:t>
      </w:r>
      <w:r w:rsidRPr="00383E22">
        <w:tab/>
        <w:t>REGISTRAČNÍ ČÍSLO(A)</w:t>
      </w:r>
    </w:p>
    <w:p w14:paraId="1FA2C56F" w14:textId="77777777" w:rsidR="00C114FF" w:rsidRPr="00383E22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D563109" w14:textId="77777777" w:rsidR="00015194" w:rsidRPr="00383E22" w:rsidRDefault="00015194" w:rsidP="00015194">
      <w:pPr>
        <w:rPr>
          <w:szCs w:val="22"/>
        </w:rPr>
      </w:pPr>
      <w:r w:rsidRPr="00383E22">
        <w:rPr>
          <w:szCs w:val="22"/>
        </w:rPr>
        <w:t>96/048/12-C</w:t>
      </w:r>
    </w:p>
    <w:p w14:paraId="427D05E5" w14:textId="1DDC7E22" w:rsidR="00C114FF" w:rsidRPr="00383E22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EDF92A7" w14:textId="77777777" w:rsidR="004A460E" w:rsidRPr="00383E22" w:rsidRDefault="004A460E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1580279" w14:textId="77777777" w:rsidR="00C114FF" w:rsidRPr="00383E22" w:rsidRDefault="0081532F" w:rsidP="00B13B6D">
      <w:pPr>
        <w:pStyle w:val="Style1"/>
      </w:pPr>
      <w:r w:rsidRPr="00383E22">
        <w:t>8.</w:t>
      </w:r>
      <w:r w:rsidRPr="00383E22">
        <w:tab/>
        <w:t>DATUM PRVNÍ REGISTRACE</w:t>
      </w:r>
    </w:p>
    <w:p w14:paraId="669AE9C0" w14:textId="39EF289F" w:rsidR="00D65777" w:rsidRPr="00383E22" w:rsidRDefault="00D65777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D9A138B" w14:textId="7C841F93" w:rsidR="00015194" w:rsidRPr="00383E22" w:rsidRDefault="00015194" w:rsidP="00015194">
      <w:pPr>
        <w:rPr>
          <w:szCs w:val="22"/>
        </w:rPr>
      </w:pPr>
      <w:r w:rsidRPr="00383E22">
        <w:rPr>
          <w:szCs w:val="22"/>
        </w:rPr>
        <w:t>25. 4. 2012/ 5. 4. 2017</w:t>
      </w:r>
    </w:p>
    <w:p w14:paraId="70B0A25D" w14:textId="1CF346AB" w:rsidR="00D65777" w:rsidRPr="00383E22" w:rsidRDefault="00D65777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351B24F" w14:textId="77777777" w:rsidR="00C114FF" w:rsidRPr="00383E22" w:rsidRDefault="0081532F" w:rsidP="00B13B6D">
      <w:pPr>
        <w:pStyle w:val="Style1"/>
      </w:pPr>
      <w:r w:rsidRPr="00383E22">
        <w:t>9.</w:t>
      </w:r>
      <w:r w:rsidRPr="00383E22">
        <w:tab/>
        <w:t>DATUM POSLEDNÍ AKTUALIZACE SOUHRNU ÚDAJŮ O PŘÍPRAVKU</w:t>
      </w:r>
    </w:p>
    <w:p w14:paraId="30326986" w14:textId="77777777" w:rsidR="00C114FF" w:rsidRPr="00383E22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494178D9" w14:textId="45DCA306" w:rsidR="00423968" w:rsidRPr="00383E22" w:rsidRDefault="00525365" w:rsidP="00423968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>0</w:t>
      </w:r>
      <w:r w:rsidR="005936AC">
        <w:rPr>
          <w:szCs w:val="22"/>
        </w:rPr>
        <w:t>8</w:t>
      </w:r>
      <w:r>
        <w:rPr>
          <w:szCs w:val="22"/>
        </w:rPr>
        <w:t>/2026</w:t>
      </w:r>
    </w:p>
    <w:p w14:paraId="224434F8" w14:textId="51781425" w:rsidR="0078538F" w:rsidRPr="00383E22" w:rsidRDefault="0078538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DB0E157" w14:textId="77777777" w:rsidR="00B113B9" w:rsidRPr="00383E22" w:rsidRDefault="00B113B9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5C198E0" w14:textId="77777777" w:rsidR="00C114FF" w:rsidRPr="00383E22" w:rsidRDefault="0081532F" w:rsidP="00B13B6D">
      <w:pPr>
        <w:pStyle w:val="Style1"/>
      </w:pPr>
      <w:r w:rsidRPr="00383E22">
        <w:t>10.</w:t>
      </w:r>
      <w:r w:rsidRPr="00383E22">
        <w:tab/>
        <w:t>KLASIFIKACE VETERINÁRNÍCH LÉČIVÝCH PŘÍPRAVKŮ</w:t>
      </w:r>
    </w:p>
    <w:p w14:paraId="1F12B426" w14:textId="77777777" w:rsidR="0078538F" w:rsidRPr="00383E22" w:rsidRDefault="0078538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B95E980" w14:textId="28504E52" w:rsidR="0078538F" w:rsidRPr="00383E22" w:rsidRDefault="0081532F" w:rsidP="0078538F">
      <w:pPr>
        <w:numPr>
          <w:ilvl w:val="12"/>
          <w:numId w:val="0"/>
        </w:numPr>
        <w:rPr>
          <w:szCs w:val="22"/>
        </w:rPr>
      </w:pPr>
      <w:r w:rsidRPr="00383E22">
        <w:rPr>
          <w:szCs w:val="22"/>
        </w:rPr>
        <w:t>Veterinární léčivý příprav</w:t>
      </w:r>
      <w:r w:rsidR="00015194" w:rsidRPr="00383E22">
        <w:rPr>
          <w:szCs w:val="22"/>
        </w:rPr>
        <w:t>ek je vydáván pouze na předpis.</w:t>
      </w:r>
    </w:p>
    <w:p w14:paraId="05E12133" w14:textId="77777777" w:rsidR="0078538F" w:rsidRPr="00383E22" w:rsidRDefault="0078538F" w:rsidP="0078538F">
      <w:pPr>
        <w:ind w:right="-318"/>
        <w:rPr>
          <w:szCs w:val="22"/>
        </w:rPr>
      </w:pPr>
    </w:p>
    <w:p w14:paraId="28C35B4C" w14:textId="2348E875" w:rsidR="0078538F" w:rsidRDefault="0081532F" w:rsidP="005C4E23">
      <w:pPr>
        <w:ind w:right="-1"/>
        <w:rPr>
          <w:i/>
          <w:szCs w:val="22"/>
        </w:rPr>
      </w:pPr>
      <w:bookmarkStart w:id="5" w:name="_Hlk73467306"/>
      <w:r w:rsidRPr="00383E22">
        <w:rPr>
          <w:szCs w:val="22"/>
        </w:rPr>
        <w:t>Podrobné informace o tomto veterinárním léčivém přípravku jsou k dispozici v databázi přípravků Unie (</w:t>
      </w:r>
      <w:hyperlink r:id="rId8" w:history="1">
        <w:r w:rsidRPr="00383E22">
          <w:rPr>
            <w:rStyle w:val="Hypertextovodkaz"/>
            <w:szCs w:val="22"/>
          </w:rPr>
          <w:t>https://medicines.health.europa.eu/veterinary</w:t>
        </w:r>
      </w:hyperlink>
      <w:r w:rsidRPr="00383E22">
        <w:rPr>
          <w:szCs w:val="22"/>
        </w:rPr>
        <w:t>)</w:t>
      </w:r>
      <w:r w:rsidRPr="00383E22">
        <w:rPr>
          <w:i/>
          <w:szCs w:val="22"/>
        </w:rPr>
        <w:t>.</w:t>
      </w:r>
      <w:bookmarkEnd w:id="5"/>
    </w:p>
    <w:p w14:paraId="3F0AA4CC" w14:textId="16610D37" w:rsidR="00525365" w:rsidRDefault="00525365" w:rsidP="005C4E23">
      <w:pPr>
        <w:ind w:right="-1"/>
        <w:rPr>
          <w:szCs w:val="22"/>
        </w:rPr>
      </w:pPr>
    </w:p>
    <w:p w14:paraId="5413F884" w14:textId="678CEB9E" w:rsidR="005936AC" w:rsidRDefault="00F76FDB" w:rsidP="00F76FDB">
      <w:pPr>
        <w:ind w:right="-1"/>
        <w:rPr>
          <w:szCs w:val="22"/>
        </w:rPr>
      </w:pPr>
      <w:bookmarkStart w:id="6" w:name="_Hlk234844453"/>
      <w:r w:rsidRPr="00F76FDB">
        <w:rPr>
          <w:szCs w:val="22"/>
        </w:rPr>
        <w:t>Podrobné informace o tomto veterinárním léčivém přípravku naleznete také v národní databázi (</w:t>
      </w:r>
      <w:hyperlink r:id="rId9" w:history="1">
        <w:r w:rsidR="005936AC" w:rsidRPr="00936EF4">
          <w:rPr>
            <w:rStyle w:val="Hypertextovodkaz"/>
            <w:szCs w:val="22"/>
          </w:rPr>
          <w:t>https://www.uskvbl.cz</w:t>
        </w:r>
      </w:hyperlink>
      <w:r w:rsidR="005936AC">
        <w:rPr>
          <w:szCs w:val="22"/>
        </w:rPr>
        <w:t>).</w:t>
      </w:r>
      <w:bookmarkStart w:id="7" w:name="_GoBack"/>
      <w:bookmarkEnd w:id="7"/>
    </w:p>
    <w:p w14:paraId="7F8EF9E2" w14:textId="555573BA" w:rsidR="00F76FDB" w:rsidRPr="00F76FDB" w:rsidRDefault="00F76FDB" w:rsidP="00F76FDB">
      <w:pPr>
        <w:ind w:right="-1"/>
        <w:rPr>
          <w:szCs w:val="22"/>
        </w:rPr>
      </w:pPr>
    </w:p>
    <w:bookmarkEnd w:id="6"/>
    <w:p w14:paraId="2444A80F" w14:textId="77777777" w:rsidR="00525365" w:rsidRPr="00383E22" w:rsidRDefault="00525365" w:rsidP="005C4E23">
      <w:pPr>
        <w:ind w:right="-1"/>
        <w:rPr>
          <w:szCs w:val="22"/>
        </w:rPr>
      </w:pPr>
    </w:p>
    <w:sectPr w:rsidR="00525365" w:rsidRPr="00383E22" w:rsidSect="003837F1">
      <w:headerReference w:type="default" r:id="rId10"/>
      <w:footerReference w:type="default" r:id="rId11"/>
      <w:footerReference w:type="first" r:id="rId12"/>
      <w:endnotePr>
        <w:numFmt w:val="decimal"/>
      </w:endnotePr>
      <w:pgSz w:w="11907" w:h="16840" w:code="9"/>
      <w:pgMar w:top="1134" w:right="1418" w:bottom="1134" w:left="1418" w:header="737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BC4205" w14:textId="77777777" w:rsidR="00C44C2A" w:rsidRDefault="00C44C2A">
      <w:pPr>
        <w:spacing w:line="240" w:lineRule="auto"/>
      </w:pPr>
      <w:r>
        <w:separator/>
      </w:r>
    </w:p>
  </w:endnote>
  <w:endnote w:type="continuationSeparator" w:id="0">
    <w:p w14:paraId="28D050D8" w14:textId="77777777" w:rsidR="00C44C2A" w:rsidRDefault="00C44C2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0D421F" w14:textId="02829788" w:rsidR="0081532F" w:rsidRPr="00E0068C" w:rsidRDefault="0081532F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rPr>
        <w:rFonts w:ascii="Times New Roman" w:hAnsi="Times New Roman"/>
      </w:rPr>
      <w:fldChar w:fldCharType="begin"/>
    </w:r>
    <w:r w:rsidRPr="00E0068C">
      <w:rPr>
        <w:rFonts w:ascii="Times New Roman" w:hAnsi="Times New Roman"/>
      </w:rPr>
      <w:instrText xml:space="preserve"> PAGE  \* MERGEFORMAT </w:instrText>
    </w:r>
    <w:r w:rsidRPr="00E0068C">
      <w:rPr>
        <w:rFonts w:ascii="Times New Roman" w:hAnsi="Times New Roman"/>
      </w:rPr>
      <w:fldChar w:fldCharType="separate"/>
    </w:r>
    <w:r w:rsidR="003B0F51">
      <w:rPr>
        <w:rFonts w:ascii="Times New Roman" w:hAnsi="Times New Roman"/>
        <w:noProof/>
      </w:rPr>
      <w:t>17</w:t>
    </w:r>
    <w:r w:rsidRPr="00E0068C">
      <w:rPr>
        <w:rFonts w:ascii="Times New Roman" w:hAnsi="Times New Roma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6C502" w14:textId="77777777" w:rsidR="0081532F" w:rsidRPr="00E0068C" w:rsidRDefault="0081532F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fldChar w:fldCharType="begin"/>
    </w:r>
    <w:r w:rsidRPr="00E0068C">
      <w:instrText xml:space="preserve"> PAGE  \* MERGEFORMAT </w:instrText>
    </w:r>
    <w:r w:rsidRPr="00E0068C">
      <w:fldChar w:fldCharType="separate"/>
    </w:r>
    <w:r w:rsidRPr="00E0068C">
      <w:t>3</w:t>
    </w:r>
    <w:r w:rsidRPr="00E0068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0FF3E6" w14:textId="77777777" w:rsidR="00C44C2A" w:rsidRDefault="00C44C2A">
      <w:pPr>
        <w:spacing w:line="240" w:lineRule="auto"/>
      </w:pPr>
      <w:r>
        <w:separator/>
      </w:r>
    </w:p>
  </w:footnote>
  <w:footnote w:type="continuationSeparator" w:id="0">
    <w:p w14:paraId="529B53BC" w14:textId="77777777" w:rsidR="00C44C2A" w:rsidRDefault="00C44C2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A22117" w14:textId="700B2809" w:rsidR="00EB3055" w:rsidRDefault="00EB3055">
    <w:pPr>
      <w:pStyle w:val="Zhlav"/>
    </w:pPr>
    <w:r w:rsidRPr="00EB3055">
      <w:t xml:space="preserve">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006F37"/>
    <w:multiLevelType w:val="hybridMultilevel"/>
    <w:tmpl w:val="AE14AB84"/>
    <w:lvl w:ilvl="0" w:tplc="C22A38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F42773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8C6BE6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7EC00F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944695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4D8EDC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142E50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F18A93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C7EED9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773A82"/>
    <w:multiLevelType w:val="hybridMultilevel"/>
    <w:tmpl w:val="DD3CF770"/>
    <w:lvl w:ilvl="0" w:tplc="6442ACD4">
      <w:start w:val="6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B8A6706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58E8C5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A5AF73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94A998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BB06B8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F7426C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43C6B5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D7835A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590322"/>
    <w:multiLevelType w:val="singleLevel"/>
    <w:tmpl w:val="A8F43FF2"/>
    <w:lvl w:ilvl="0">
      <w:start w:val="1"/>
      <w:numFmt w:val="decimal"/>
      <w:lvlText w:val="Figure: %1. "/>
      <w:lvlJc w:val="left"/>
      <w:pPr>
        <w:tabs>
          <w:tab w:val="num" w:pos="1080"/>
        </w:tabs>
        <w:ind w:left="360" w:hanging="360"/>
      </w:pPr>
    </w:lvl>
  </w:abstractNum>
  <w:abstractNum w:abstractNumId="4" w15:restartNumberingAfterBreak="0">
    <w:nsid w:val="056809B1"/>
    <w:multiLevelType w:val="multilevel"/>
    <w:tmpl w:val="D9AA0AA0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85F4D74"/>
    <w:multiLevelType w:val="multilevel"/>
    <w:tmpl w:val="A02E932A"/>
    <w:styleLink w:val="BulletsAgency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003399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3399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6" w15:restartNumberingAfterBreak="0">
    <w:nsid w:val="0D2A2D5A"/>
    <w:multiLevelType w:val="hybridMultilevel"/>
    <w:tmpl w:val="2E749F0C"/>
    <w:lvl w:ilvl="0" w:tplc="9F366E28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7E04056A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0082E4DC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53728BE6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968E6C98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791A5146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475A9A0E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71A07E4A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5470D372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7" w15:restartNumberingAfterBreak="0">
    <w:nsid w:val="1343193C"/>
    <w:multiLevelType w:val="hybridMultilevel"/>
    <w:tmpl w:val="70584BD4"/>
    <w:lvl w:ilvl="0" w:tplc="E91A318A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CF2EA3AC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689E0060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A446A900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DEAE62DC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208E593A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79202168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FD9A8E4A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596CEE18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8" w15:restartNumberingAfterBreak="0">
    <w:nsid w:val="16B978CD"/>
    <w:multiLevelType w:val="singleLevel"/>
    <w:tmpl w:val="31304CA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9" w15:restartNumberingAfterBreak="0">
    <w:nsid w:val="1D9809A6"/>
    <w:multiLevelType w:val="hybridMultilevel"/>
    <w:tmpl w:val="1ABA9E76"/>
    <w:lvl w:ilvl="0" w:tplc="FC3E91E2">
      <w:start w:val="4"/>
      <w:numFmt w:val="bullet"/>
      <w:lvlText w:val="-"/>
      <w:lvlJc w:val="left"/>
      <w:pPr>
        <w:ind w:left="810" w:hanging="360"/>
      </w:pPr>
      <w:rPr>
        <w:rFonts w:ascii="Arial" w:eastAsia="MS Mincho" w:hAnsi="Arial" w:cs="Arial" w:hint="default"/>
      </w:rPr>
    </w:lvl>
    <w:lvl w:ilvl="1" w:tplc="040C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0" w15:restartNumberingAfterBreak="0">
    <w:nsid w:val="1EA37FC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11" w15:restartNumberingAfterBreak="0">
    <w:nsid w:val="1FBF0E2B"/>
    <w:multiLevelType w:val="hybridMultilevel"/>
    <w:tmpl w:val="8E0A8F32"/>
    <w:lvl w:ilvl="0" w:tplc="990A89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B08054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F0465B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CC8A41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5C8AC9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B3AB58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FFAE96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40089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370222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02B3A5E"/>
    <w:multiLevelType w:val="multilevel"/>
    <w:tmpl w:val="76263460"/>
    <w:lvl w:ilvl="0">
      <w:start w:val="1"/>
      <w:numFmt w:val="upperRoman"/>
      <w:pStyle w:val="AHeader1"/>
      <w:lvlText w:val="%1"/>
      <w:lvlJc w:val="left"/>
      <w:pPr>
        <w:tabs>
          <w:tab w:val="num" w:pos="720"/>
        </w:tabs>
        <w:ind w:left="284" w:hanging="284"/>
      </w:pPr>
      <w:rPr>
        <w:rFonts w:ascii="Arial" w:hAnsi="Arial" w:cs="Times New Roman" w:hint="default"/>
        <w:b/>
        <w:i w:val="0"/>
        <w:sz w:val="24"/>
      </w:rPr>
    </w:lvl>
    <w:lvl w:ilvl="1">
      <w:start w:val="1"/>
      <w:numFmt w:val="decimal"/>
      <w:pStyle w:val="AHeader2"/>
      <w:lvlText w:val="%1.%2"/>
      <w:lvlJc w:val="left"/>
      <w:pPr>
        <w:tabs>
          <w:tab w:val="num" w:pos="709"/>
        </w:tabs>
        <w:ind w:left="709" w:hanging="425"/>
      </w:pPr>
      <w:rPr>
        <w:rFonts w:ascii="Arial" w:hAnsi="Arial" w:cs="Times New Roman" w:hint="default"/>
        <w:b/>
        <w:i w:val="0"/>
        <w:sz w:val="22"/>
      </w:rPr>
    </w:lvl>
    <w:lvl w:ilvl="2">
      <w:start w:val="1"/>
      <w:numFmt w:val="decimal"/>
      <w:pStyle w:val="AHeader3"/>
      <w:lvlText w:val="%1.%2.%3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/>
        <w:i w:val="0"/>
        <w:sz w:val="22"/>
      </w:rPr>
    </w:lvl>
    <w:lvl w:ilvl="3">
      <w:start w:val="1"/>
      <w:numFmt w:val="lowerLetter"/>
      <w:pStyle w:val="AHeader2abc"/>
      <w:lvlText w:val="%4)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 w:val="0"/>
        <w:i w:val="0"/>
        <w:sz w:val="22"/>
      </w:rPr>
    </w:lvl>
    <w:lvl w:ilvl="4">
      <w:start w:val="1"/>
      <w:numFmt w:val="lowerLetter"/>
      <w:lvlRestart w:val="2"/>
      <w:pStyle w:val="AHeader3abc"/>
      <w:lvlText w:val="%5)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663"/>
        </w:tabs>
        <w:ind w:left="1663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807"/>
        </w:tabs>
        <w:ind w:left="1807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951"/>
        </w:tabs>
        <w:ind w:left="1951" w:hanging="432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71"/>
        </w:tabs>
        <w:ind w:left="2311" w:hanging="360"/>
      </w:pPr>
      <w:rPr>
        <w:rFonts w:ascii="Arial" w:hAnsi="Arial" w:hint="default"/>
        <w:b w:val="0"/>
        <w:i w:val="0"/>
        <w:sz w:val="22"/>
      </w:rPr>
    </w:lvl>
  </w:abstractNum>
  <w:abstractNum w:abstractNumId="13" w15:restartNumberingAfterBreak="0">
    <w:nsid w:val="223E66A0"/>
    <w:multiLevelType w:val="hybridMultilevel"/>
    <w:tmpl w:val="B91E5D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354683"/>
    <w:multiLevelType w:val="hybridMultilevel"/>
    <w:tmpl w:val="0EE81776"/>
    <w:lvl w:ilvl="0" w:tplc="4D6EF67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D2E585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68483F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5AF23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95EA79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85E1E7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E0402C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31217E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8726FF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6A670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2EE53610"/>
    <w:multiLevelType w:val="singleLevel"/>
    <w:tmpl w:val="A2B8F0DC"/>
    <w:lvl w:ilvl="0">
      <w:start w:val="1"/>
      <w:numFmt w:val="upperLetter"/>
      <w:lvlText w:val="%1."/>
      <w:legacy w:legacy="1" w:legacySpace="0" w:legacyIndent="360"/>
      <w:lvlJc w:val="left"/>
      <w:pPr>
        <w:ind w:left="1494" w:hanging="360"/>
      </w:pPr>
    </w:lvl>
  </w:abstractNum>
  <w:abstractNum w:abstractNumId="17" w15:restartNumberingAfterBreak="0">
    <w:nsid w:val="316F2A18"/>
    <w:multiLevelType w:val="hybridMultilevel"/>
    <w:tmpl w:val="0888850E"/>
    <w:lvl w:ilvl="0" w:tplc="2CE26076">
      <w:start w:val="1"/>
      <w:numFmt w:val="bullet"/>
      <w:lvlText w:val=""/>
      <w:lvlJc w:val="left"/>
      <w:pPr>
        <w:ind w:left="780" w:hanging="360"/>
      </w:pPr>
      <w:rPr>
        <w:rFonts w:ascii="Symbol" w:hAnsi="Symbol" w:cs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 w15:restartNumberingAfterBreak="0">
    <w:nsid w:val="368E30D3"/>
    <w:multiLevelType w:val="multilevel"/>
    <w:tmpl w:val="88209D6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9" w15:restartNumberingAfterBreak="0">
    <w:nsid w:val="36D96073"/>
    <w:multiLevelType w:val="hybridMultilevel"/>
    <w:tmpl w:val="CA663CC0"/>
    <w:lvl w:ilvl="0" w:tplc="1FF66F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688E945C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5C7D9C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3774C14A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E68072BE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57CA674E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A4C497E8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1B18EAD4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8910AA16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3DA64B37"/>
    <w:multiLevelType w:val="hybridMultilevel"/>
    <w:tmpl w:val="6D20E0BE"/>
    <w:lvl w:ilvl="0" w:tplc="DD860A74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mbria" w:hAnsi="Cambria" w:hint="default"/>
      </w:rPr>
    </w:lvl>
    <w:lvl w:ilvl="1" w:tplc="56069CF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3AEF80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A0E904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D02795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F746A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5B0D9A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FAB0A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35C389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D25EE3"/>
    <w:multiLevelType w:val="hybridMultilevel"/>
    <w:tmpl w:val="DEF8824C"/>
    <w:lvl w:ilvl="0" w:tplc="2CE260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auto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467373A9"/>
    <w:multiLevelType w:val="hybridMultilevel"/>
    <w:tmpl w:val="E3BA04EE"/>
    <w:lvl w:ilvl="0" w:tplc="9A7060F8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83E6AFE8">
      <w:start w:val="5"/>
      <w:numFmt w:val="decimal"/>
      <w:lvlText w:val="%2"/>
      <w:lvlJc w:val="left"/>
      <w:pPr>
        <w:tabs>
          <w:tab w:val="num" w:pos="1650"/>
        </w:tabs>
        <w:ind w:left="1650" w:hanging="570"/>
      </w:pPr>
      <w:rPr>
        <w:rFonts w:hint="default"/>
      </w:rPr>
    </w:lvl>
    <w:lvl w:ilvl="2" w:tplc="C4FA55C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37A7D6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494690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F34626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CCE00F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4542CE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EE82A2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A810019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4" w15:restartNumberingAfterBreak="0">
    <w:nsid w:val="4DAE5508"/>
    <w:multiLevelType w:val="hybridMultilevel"/>
    <w:tmpl w:val="DA0EE772"/>
    <w:lvl w:ilvl="0" w:tplc="DA5CBEBC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C758231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945E49C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818F2F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AF67C2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21A999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1B841E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89A388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09058D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BB473E"/>
    <w:multiLevelType w:val="hybridMultilevel"/>
    <w:tmpl w:val="BA782D10"/>
    <w:lvl w:ilvl="0" w:tplc="B49C3132">
      <w:start w:val="5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B16A45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628B58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62E235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8E81F3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08C0EF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E16CE9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31AB8E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7A0502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F1F1D26"/>
    <w:multiLevelType w:val="hybridMultilevel"/>
    <w:tmpl w:val="2E749F0C"/>
    <w:lvl w:ilvl="0" w:tplc="50205632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43384B1C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CA5A7A7A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1BB8C532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BE3EE0E0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946A4CF2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37365E28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811A3B00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008C4356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27" w15:restartNumberingAfterBreak="0">
    <w:nsid w:val="52C80393"/>
    <w:multiLevelType w:val="hybridMultilevel"/>
    <w:tmpl w:val="7996087A"/>
    <w:lvl w:ilvl="0" w:tplc="15F0203A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A896FB8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56ACF5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4D09C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3DC07C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126068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47A7B9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952616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537AD43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60C436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9" w15:restartNumberingAfterBreak="0">
    <w:nsid w:val="5A3F65D8"/>
    <w:multiLevelType w:val="multilevel"/>
    <w:tmpl w:val="A02E932A"/>
    <w:numStyleLink w:val="BulletsAgency"/>
  </w:abstractNum>
  <w:abstractNum w:abstractNumId="30" w15:restartNumberingAfterBreak="0">
    <w:nsid w:val="5B45364D"/>
    <w:multiLevelType w:val="singleLevel"/>
    <w:tmpl w:val="CDFCF48C"/>
    <w:lvl w:ilvl="0">
      <w:start w:val="8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</w:abstractNum>
  <w:abstractNum w:abstractNumId="31" w15:restartNumberingAfterBreak="0">
    <w:nsid w:val="5E0C3C1E"/>
    <w:multiLevelType w:val="hybridMultilevel"/>
    <w:tmpl w:val="BCC6941C"/>
    <w:lvl w:ilvl="0" w:tplc="4F746868">
      <w:start w:val="1"/>
      <w:numFmt w:val="upperLetter"/>
      <w:pStyle w:val="Style3"/>
      <w:suff w:val="space"/>
      <w:lvlText w:val="%1."/>
      <w:lvlJc w:val="left"/>
      <w:pPr>
        <w:ind w:left="0" w:firstLine="0"/>
      </w:pPr>
      <w:rPr>
        <w:rFonts w:hint="default"/>
      </w:rPr>
    </w:lvl>
    <w:lvl w:ilvl="1" w:tplc="D592EACC" w:tentative="1">
      <w:start w:val="1"/>
      <w:numFmt w:val="lowerLetter"/>
      <w:lvlText w:val="%2."/>
      <w:lvlJc w:val="left"/>
      <w:pPr>
        <w:ind w:left="1440" w:hanging="360"/>
      </w:pPr>
    </w:lvl>
    <w:lvl w:ilvl="2" w:tplc="162854F4" w:tentative="1">
      <w:start w:val="1"/>
      <w:numFmt w:val="lowerRoman"/>
      <w:lvlText w:val="%3."/>
      <w:lvlJc w:val="right"/>
      <w:pPr>
        <w:ind w:left="2160" w:hanging="180"/>
      </w:pPr>
    </w:lvl>
    <w:lvl w:ilvl="3" w:tplc="A612AA8C" w:tentative="1">
      <w:start w:val="1"/>
      <w:numFmt w:val="decimal"/>
      <w:lvlText w:val="%4."/>
      <w:lvlJc w:val="left"/>
      <w:pPr>
        <w:ind w:left="2880" w:hanging="360"/>
      </w:pPr>
    </w:lvl>
    <w:lvl w:ilvl="4" w:tplc="3F4E185E" w:tentative="1">
      <w:start w:val="1"/>
      <w:numFmt w:val="lowerLetter"/>
      <w:lvlText w:val="%5."/>
      <w:lvlJc w:val="left"/>
      <w:pPr>
        <w:ind w:left="3600" w:hanging="360"/>
      </w:pPr>
    </w:lvl>
    <w:lvl w:ilvl="5" w:tplc="53BA7D70" w:tentative="1">
      <w:start w:val="1"/>
      <w:numFmt w:val="lowerRoman"/>
      <w:lvlText w:val="%6."/>
      <w:lvlJc w:val="right"/>
      <w:pPr>
        <w:ind w:left="4320" w:hanging="180"/>
      </w:pPr>
    </w:lvl>
    <w:lvl w:ilvl="6" w:tplc="B302D05E" w:tentative="1">
      <w:start w:val="1"/>
      <w:numFmt w:val="decimal"/>
      <w:lvlText w:val="%7."/>
      <w:lvlJc w:val="left"/>
      <w:pPr>
        <w:ind w:left="5040" w:hanging="360"/>
      </w:pPr>
    </w:lvl>
    <w:lvl w:ilvl="7" w:tplc="3D88F358" w:tentative="1">
      <w:start w:val="1"/>
      <w:numFmt w:val="lowerLetter"/>
      <w:lvlText w:val="%8."/>
      <w:lvlJc w:val="left"/>
      <w:pPr>
        <w:ind w:left="5760" w:hanging="360"/>
      </w:pPr>
    </w:lvl>
    <w:lvl w:ilvl="8" w:tplc="0D025AC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0E67BF"/>
    <w:multiLevelType w:val="hybridMultilevel"/>
    <w:tmpl w:val="B1D854E2"/>
    <w:lvl w:ilvl="0" w:tplc="5804F45A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A9FA55C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2CEEF6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B7013F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338ED2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DFD69D1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9FA93C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2C279C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DE8003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58C02A1"/>
    <w:multiLevelType w:val="singleLevel"/>
    <w:tmpl w:val="E7D22186"/>
    <w:lvl w:ilvl="0">
      <w:start w:val="1"/>
      <w:numFmt w:val="upperRoman"/>
      <w:lvlText w:val="%1."/>
      <w:lvlJc w:val="left"/>
      <w:pPr>
        <w:tabs>
          <w:tab w:val="num" w:pos="720"/>
        </w:tabs>
        <w:ind w:left="360" w:hanging="360"/>
      </w:pPr>
    </w:lvl>
  </w:abstractNum>
  <w:abstractNum w:abstractNumId="34" w15:restartNumberingAfterBreak="0">
    <w:nsid w:val="68247730"/>
    <w:multiLevelType w:val="singleLevel"/>
    <w:tmpl w:val="6096C72A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35" w15:restartNumberingAfterBreak="0">
    <w:nsid w:val="6A7B2E2F"/>
    <w:multiLevelType w:val="hybridMultilevel"/>
    <w:tmpl w:val="0F966314"/>
    <w:lvl w:ilvl="0" w:tplc="79BEF6F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B014835"/>
    <w:multiLevelType w:val="multilevel"/>
    <w:tmpl w:val="CFACB26E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7" w15:restartNumberingAfterBreak="0">
    <w:nsid w:val="6BEB7447"/>
    <w:multiLevelType w:val="singleLevel"/>
    <w:tmpl w:val="FFFFFFFF"/>
    <w:lvl w:ilvl="0">
      <w:start w:val="1"/>
      <w:numFmt w:val="bullet"/>
      <w:lvlText w:val="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38" w15:restartNumberingAfterBreak="0">
    <w:nsid w:val="6D941758"/>
    <w:multiLevelType w:val="singleLevel"/>
    <w:tmpl w:val="98907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9" w15:restartNumberingAfterBreak="0">
    <w:nsid w:val="71FB76EB"/>
    <w:multiLevelType w:val="hybridMultilevel"/>
    <w:tmpl w:val="CC66055E"/>
    <w:lvl w:ilvl="0" w:tplc="78AE219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C9E7D8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EEC95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C92F56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798328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FC24F2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5CEEF3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21EAE6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B603AC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2087B01"/>
    <w:multiLevelType w:val="hybridMultilevel"/>
    <w:tmpl w:val="D4C290BC"/>
    <w:lvl w:ilvl="0" w:tplc="8C7CF2C0">
      <w:start w:val="4"/>
      <w:numFmt w:val="upperLetter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31D88D6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444779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0B82BC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B5E8EF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446027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7B20F9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7A6F8F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B82E74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5E1091A"/>
    <w:multiLevelType w:val="hybridMultilevel"/>
    <w:tmpl w:val="9D5C3D80"/>
    <w:lvl w:ilvl="0" w:tplc="A2867144">
      <w:start w:val="1"/>
      <w:numFmt w:val="decimal"/>
      <w:lvlText w:val="%1."/>
      <w:lvlJc w:val="left"/>
      <w:pPr>
        <w:ind w:left="720" w:hanging="360"/>
      </w:pPr>
    </w:lvl>
    <w:lvl w:ilvl="1" w:tplc="BE289664" w:tentative="1">
      <w:start w:val="1"/>
      <w:numFmt w:val="lowerLetter"/>
      <w:lvlText w:val="%2."/>
      <w:lvlJc w:val="left"/>
      <w:pPr>
        <w:ind w:left="1440" w:hanging="360"/>
      </w:pPr>
    </w:lvl>
    <w:lvl w:ilvl="2" w:tplc="E078EF10" w:tentative="1">
      <w:start w:val="1"/>
      <w:numFmt w:val="lowerRoman"/>
      <w:lvlText w:val="%3."/>
      <w:lvlJc w:val="right"/>
      <w:pPr>
        <w:ind w:left="2160" w:hanging="180"/>
      </w:pPr>
    </w:lvl>
    <w:lvl w:ilvl="3" w:tplc="E16435D8" w:tentative="1">
      <w:start w:val="1"/>
      <w:numFmt w:val="decimal"/>
      <w:lvlText w:val="%4."/>
      <w:lvlJc w:val="left"/>
      <w:pPr>
        <w:ind w:left="2880" w:hanging="360"/>
      </w:pPr>
    </w:lvl>
    <w:lvl w:ilvl="4" w:tplc="10A00AE2" w:tentative="1">
      <w:start w:val="1"/>
      <w:numFmt w:val="lowerLetter"/>
      <w:lvlText w:val="%5."/>
      <w:lvlJc w:val="left"/>
      <w:pPr>
        <w:ind w:left="3600" w:hanging="360"/>
      </w:pPr>
    </w:lvl>
    <w:lvl w:ilvl="5" w:tplc="CF185B98" w:tentative="1">
      <w:start w:val="1"/>
      <w:numFmt w:val="lowerRoman"/>
      <w:lvlText w:val="%6."/>
      <w:lvlJc w:val="right"/>
      <w:pPr>
        <w:ind w:left="4320" w:hanging="180"/>
      </w:pPr>
    </w:lvl>
    <w:lvl w:ilvl="6" w:tplc="5E94AE52" w:tentative="1">
      <w:start w:val="1"/>
      <w:numFmt w:val="decimal"/>
      <w:lvlText w:val="%7."/>
      <w:lvlJc w:val="left"/>
      <w:pPr>
        <w:ind w:left="5040" w:hanging="360"/>
      </w:pPr>
    </w:lvl>
    <w:lvl w:ilvl="7" w:tplc="05887802" w:tentative="1">
      <w:start w:val="1"/>
      <w:numFmt w:val="lowerLetter"/>
      <w:lvlText w:val="%8."/>
      <w:lvlJc w:val="left"/>
      <w:pPr>
        <w:ind w:left="5760" w:hanging="360"/>
      </w:pPr>
    </w:lvl>
    <w:lvl w:ilvl="8" w:tplc="8B6E97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A8A5987"/>
    <w:multiLevelType w:val="hybridMultilevel"/>
    <w:tmpl w:val="D73EEE10"/>
    <w:lvl w:ilvl="0" w:tplc="9CE69702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90F0B4A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62EED8D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E50242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5E0987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BF09CA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F8408C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0A457B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0CC00E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E822616"/>
    <w:multiLevelType w:val="multilevel"/>
    <w:tmpl w:val="AFDADCCA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3">
    <w:abstractNumId w:val="38"/>
  </w:num>
  <w:num w:numId="4">
    <w:abstractNumId w:val="37"/>
  </w:num>
  <w:num w:numId="5">
    <w:abstractNumId w:val="15"/>
  </w:num>
  <w:num w:numId="6">
    <w:abstractNumId w:val="28"/>
  </w:num>
  <w:num w:numId="7">
    <w:abstractNumId w:val="23"/>
  </w:num>
  <w:num w:numId="8">
    <w:abstractNumId w:val="10"/>
  </w:num>
  <w:num w:numId="9">
    <w:abstractNumId w:val="34"/>
  </w:num>
  <w:num w:numId="10">
    <w:abstractNumId w:val="36"/>
  </w:num>
  <w:num w:numId="11">
    <w:abstractNumId w:val="18"/>
  </w:num>
  <w:num w:numId="12">
    <w:abstractNumId w:val="16"/>
  </w:num>
  <w:num w:numId="13">
    <w:abstractNumId w:val="3"/>
  </w:num>
  <w:num w:numId="14">
    <w:abstractNumId w:val="33"/>
  </w:num>
  <w:num w:numId="15">
    <w:abstractNumId w:val="22"/>
  </w:num>
  <w:num w:numId="16">
    <w:abstractNumId w:val="39"/>
  </w:num>
  <w:num w:numId="17">
    <w:abstractNumId w:val="11"/>
  </w:num>
  <w:num w:numId="18">
    <w:abstractNumId w:val="1"/>
  </w:num>
  <w:num w:numId="19">
    <w:abstractNumId w:val="19"/>
  </w:num>
  <w:num w:numId="20">
    <w:abstractNumId w:val="4"/>
  </w:num>
  <w:num w:numId="21">
    <w:abstractNumId w:val="8"/>
  </w:num>
  <w:num w:numId="22">
    <w:abstractNumId w:val="30"/>
  </w:num>
  <w:num w:numId="23">
    <w:abstractNumId w:val="40"/>
  </w:num>
  <w:num w:numId="24">
    <w:abstractNumId w:val="25"/>
  </w:num>
  <w:num w:numId="25">
    <w:abstractNumId w:val="12"/>
  </w:num>
  <w:num w:numId="26">
    <w:abstractNumId w:val="14"/>
  </w:num>
  <w:num w:numId="27">
    <w:abstractNumId w:val="6"/>
  </w:num>
  <w:num w:numId="28">
    <w:abstractNumId w:val="7"/>
  </w:num>
  <w:num w:numId="29">
    <w:abstractNumId w:val="26"/>
  </w:num>
  <w:num w:numId="30">
    <w:abstractNumId w:val="42"/>
  </w:num>
  <w:num w:numId="31">
    <w:abstractNumId w:val="43"/>
  </w:num>
  <w:num w:numId="32">
    <w:abstractNumId w:val="24"/>
  </w:num>
  <w:num w:numId="33">
    <w:abstractNumId w:val="32"/>
  </w:num>
  <w:num w:numId="34">
    <w:abstractNumId w:val="27"/>
  </w:num>
  <w:num w:numId="35">
    <w:abstractNumId w:val="2"/>
  </w:num>
  <w:num w:numId="36">
    <w:abstractNumId w:val="5"/>
  </w:num>
  <w:num w:numId="37">
    <w:abstractNumId w:val="29"/>
  </w:num>
  <w:num w:numId="38">
    <w:abstractNumId w:val="20"/>
  </w:num>
  <w:num w:numId="39">
    <w:abstractNumId w:val="41"/>
  </w:num>
  <w:num w:numId="40">
    <w:abstractNumId w:val="31"/>
  </w:num>
  <w:num w:numId="41">
    <w:abstractNumId w:val="35"/>
  </w:num>
  <w:num w:numId="42">
    <w:abstractNumId w:val="9"/>
  </w:num>
  <w:num w:numId="43">
    <w:abstractNumId w:val="17"/>
  </w:num>
  <w:num w:numId="44">
    <w:abstractNumId w:val="13"/>
  </w:num>
  <w:num w:numId="4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egistered" w:val="-1"/>
    <w:docVar w:name="Version" w:val="0"/>
  </w:docVars>
  <w:rsids>
    <w:rsidRoot w:val="00C114FF"/>
    <w:rsid w:val="00015194"/>
    <w:rsid w:val="00021B82"/>
    <w:rsid w:val="00024777"/>
    <w:rsid w:val="00024E21"/>
    <w:rsid w:val="00027100"/>
    <w:rsid w:val="00030AD8"/>
    <w:rsid w:val="000349AA"/>
    <w:rsid w:val="00036C50"/>
    <w:rsid w:val="00042E6C"/>
    <w:rsid w:val="00052D2B"/>
    <w:rsid w:val="00054F55"/>
    <w:rsid w:val="00056EE7"/>
    <w:rsid w:val="00062945"/>
    <w:rsid w:val="00063946"/>
    <w:rsid w:val="00067023"/>
    <w:rsid w:val="00080453"/>
    <w:rsid w:val="0008169A"/>
    <w:rsid w:val="00082200"/>
    <w:rsid w:val="000838BB"/>
    <w:rsid w:val="000842AA"/>
    <w:rsid w:val="000860CE"/>
    <w:rsid w:val="00092A37"/>
    <w:rsid w:val="000938A6"/>
    <w:rsid w:val="00096E78"/>
    <w:rsid w:val="00097C1E"/>
    <w:rsid w:val="000A1DF5"/>
    <w:rsid w:val="000B7873"/>
    <w:rsid w:val="000C02A1"/>
    <w:rsid w:val="000C1D4F"/>
    <w:rsid w:val="000C3ED7"/>
    <w:rsid w:val="000C55E6"/>
    <w:rsid w:val="000C687A"/>
    <w:rsid w:val="000D67D0"/>
    <w:rsid w:val="000E115E"/>
    <w:rsid w:val="000E195C"/>
    <w:rsid w:val="000E3602"/>
    <w:rsid w:val="000E705A"/>
    <w:rsid w:val="000F38DA"/>
    <w:rsid w:val="000F5822"/>
    <w:rsid w:val="000F796B"/>
    <w:rsid w:val="0010031E"/>
    <w:rsid w:val="001012EB"/>
    <w:rsid w:val="001078D1"/>
    <w:rsid w:val="00111185"/>
    <w:rsid w:val="00115782"/>
    <w:rsid w:val="00115BD5"/>
    <w:rsid w:val="00116067"/>
    <w:rsid w:val="001214EE"/>
    <w:rsid w:val="00124F36"/>
    <w:rsid w:val="00125666"/>
    <w:rsid w:val="001259E3"/>
    <w:rsid w:val="00125C80"/>
    <w:rsid w:val="00136DCF"/>
    <w:rsid w:val="0013799F"/>
    <w:rsid w:val="00140DF6"/>
    <w:rsid w:val="00145C3F"/>
    <w:rsid w:val="00145D34"/>
    <w:rsid w:val="00146284"/>
    <w:rsid w:val="0014690F"/>
    <w:rsid w:val="0015098E"/>
    <w:rsid w:val="00153B3A"/>
    <w:rsid w:val="00164543"/>
    <w:rsid w:val="00164C48"/>
    <w:rsid w:val="00165F25"/>
    <w:rsid w:val="00166FC8"/>
    <w:rsid w:val="001674D3"/>
    <w:rsid w:val="00174721"/>
    <w:rsid w:val="00175264"/>
    <w:rsid w:val="001803D2"/>
    <w:rsid w:val="0018228B"/>
    <w:rsid w:val="00185B50"/>
    <w:rsid w:val="0018625C"/>
    <w:rsid w:val="0018657D"/>
    <w:rsid w:val="001869C4"/>
    <w:rsid w:val="00187A5D"/>
    <w:rsid w:val="00187DE7"/>
    <w:rsid w:val="00187E62"/>
    <w:rsid w:val="0019092F"/>
    <w:rsid w:val="00192045"/>
    <w:rsid w:val="00192D98"/>
    <w:rsid w:val="00193B14"/>
    <w:rsid w:val="00193E72"/>
    <w:rsid w:val="00195267"/>
    <w:rsid w:val="0019600B"/>
    <w:rsid w:val="0019686E"/>
    <w:rsid w:val="001A0E2C"/>
    <w:rsid w:val="001A1238"/>
    <w:rsid w:val="001A28C9"/>
    <w:rsid w:val="001A34BC"/>
    <w:rsid w:val="001A621E"/>
    <w:rsid w:val="001B1C77"/>
    <w:rsid w:val="001B26EB"/>
    <w:rsid w:val="001B323F"/>
    <w:rsid w:val="001B6F4A"/>
    <w:rsid w:val="001B7B38"/>
    <w:rsid w:val="001C5288"/>
    <w:rsid w:val="001C5B03"/>
    <w:rsid w:val="001D41CA"/>
    <w:rsid w:val="001D4CE4"/>
    <w:rsid w:val="001D6052"/>
    <w:rsid w:val="001D6D96"/>
    <w:rsid w:val="001E5621"/>
    <w:rsid w:val="001F1C7E"/>
    <w:rsid w:val="001F3239"/>
    <w:rsid w:val="001F3EF9"/>
    <w:rsid w:val="001F627D"/>
    <w:rsid w:val="001F6622"/>
    <w:rsid w:val="001F6F38"/>
    <w:rsid w:val="00200D13"/>
    <w:rsid w:val="00200EFE"/>
    <w:rsid w:val="0020126C"/>
    <w:rsid w:val="00202A85"/>
    <w:rsid w:val="00202EA3"/>
    <w:rsid w:val="002100FC"/>
    <w:rsid w:val="00213890"/>
    <w:rsid w:val="00214E52"/>
    <w:rsid w:val="002207C0"/>
    <w:rsid w:val="0022380D"/>
    <w:rsid w:val="00224B93"/>
    <w:rsid w:val="00226630"/>
    <w:rsid w:val="0023676E"/>
    <w:rsid w:val="002414B6"/>
    <w:rsid w:val="002422EB"/>
    <w:rsid w:val="00242397"/>
    <w:rsid w:val="002446DC"/>
    <w:rsid w:val="00247A48"/>
    <w:rsid w:val="00250DD1"/>
    <w:rsid w:val="00251183"/>
    <w:rsid w:val="00251689"/>
    <w:rsid w:val="0025267C"/>
    <w:rsid w:val="00253B6B"/>
    <w:rsid w:val="00256A03"/>
    <w:rsid w:val="0025748D"/>
    <w:rsid w:val="00265656"/>
    <w:rsid w:val="00265E77"/>
    <w:rsid w:val="00266155"/>
    <w:rsid w:val="00266BEC"/>
    <w:rsid w:val="00267F30"/>
    <w:rsid w:val="0027270B"/>
    <w:rsid w:val="00272952"/>
    <w:rsid w:val="00272B36"/>
    <w:rsid w:val="00274B6F"/>
    <w:rsid w:val="00274D17"/>
    <w:rsid w:val="00282E7B"/>
    <w:rsid w:val="002838C8"/>
    <w:rsid w:val="00287FC5"/>
    <w:rsid w:val="00290805"/>
    <w:rsid w:val="00290C2A"/>
    <w:rsid w:val="002931DD"/>
    <w:rsid w:val="00295140"/>
    <w:rsid w:val="002A0E7C"/>
    <w:rsid w:val="002A0EED"/>
    <w:rsid w:val="002A21ED"/>
    <w:rsid w:val="002A3F88"/>
    <w:rsid w:val="002A67C1"/>
    <w:rsid w:val="002A710D"/>
    <w:rsid w:val="002B0F11"/>
    <w:rsid w:val="002B2E17"/>
    <w:rsid w:val="002B5727"/>
    <w:rsid w:val="002B6560"/>
    <w:rsid w:val="002B6599"/>
    <w:rsid w:val="002C1F27"/>
    <w:rsid w:val="002C55FF"/>
    <w:rsid w:val="002C592B"/>
    <w:rsid w:val="002D300D"/>
    <w:rsid w:val="002D5EFF"/>
    <w:rsid w:val="002E0CD4"/>
    <w:rsid w:val="002E3A90"/>
    <w:rsid w:val="002E46CC"/>
    <w:rsid w:val="002E4F48"/>
    <w:rsid w:val="002E62CB"/>
    <w:rsid w:val="002E6DF1"/>
    <w:rsid w:val="002E6ED9"/>
    <w:rsid w:val="002F0957"/>
    <w:rsid w:val="002F37AB"/>
    <w:rsid w:val="002F3A7F"/>
    <w:rsid w:val="002F41AD"/>
    <w:rsid w:val="002F43F6"/>
    <w:rsid w:val="002F64C6"/>
    <w:rsid w:val="002F6DAA"/>
    <w:rsid w:val="002F6EE3"/>
    <w:rsid w:val="002F71D5"/>
    <w:rsid w:val="003020BB"/>
    <w:rsid w:val="00302266"/>
    <w:rsid w:val="0030237C"/>
    <w:rsid w:val="00304393"/>
    <w:rsid w:val="0030564C"/>
    <w:rsid w:val="00305AB2"/>
    <w:rsid w:val="00307EB2"/>
    <w:rsid w:val="0031032B"/>
    <w:rsid w:val="003137E7"/>
    <w:rsid w:val="00316E87"/>
    <w:rsid w:val="0032453E"/>
    <w:rsid w:val="003247F4"/>
    <w:rsid w:val="00325053"/>
    <w:rsid w:val="003256AC"/>
    <w:rsid w:val="00330CC1"/>
    <w:rsid w:val="0033129D"/>
    <w:rsid w:val="003320ED"/>
    <w:rsid w:val="0033480E"/>
    <w:rsid w:val="00337123"/>
    <w:rsid w:val="00341866"/>
    <w:rsid w:val="00342C0C"/>
    <w:rsid w:val="003535E0"/>
    <w:rsid w:val="003543AC"/>
    <w:rsid w:val="00355AB8"/>
    <w:rsid w:val="00355D02"/>
    <w:rsid w:val="00361607"/>
    <w:rsid w:val="0036284A"/>
    <w:rsid w:val="00365C0D"/>
    <w:rsid w:val="00366F56"/>
    <w:rsid w:val="00367F82"/>
    <w:rsid w:val="0037032C"/>
    <w:rsid w:val="003737C8"/>
    <w:rsid w:val="0037589D"/>
    <w:rsid w:val="00376BB1"/>
    <w:rsid w:val="00377E23"/>
    <w:rsid w:val="00380765"/>
    <w:rsid w:val="003817EF"/>
    <w:rsid w:val="0038277C"/>
    <w:rsid w:val="003837F1"/>
    <w:rsid w:val="00383E22"/>
    <w:rsid w:val="003841FC"/>
    <w:rsid w:val="00385A69"/>
    <w:rsid w:val="00385CE3"/>
    <w:rsid w:val="0038638B"/>
    <w:rsid w:val="003909E0"/>
    <w:rsid w:val="00391622"/>
    <w:rsid w:val="00391B09"/>
    <w:rsid w:val="00393E09"/>
    <w:rsid w:val="00395B15"/>
    <w:rsid w:val="00396026"/>
    <w:rsid w:val="003A31B9"/>
    <w:rsid w:val="003A3E2F"/>
    <w:rsid w:val="003A6CCB"/>
    <w:rsid w:val="003B0F22"/>
    <w:rsid w:val="003B0F51"/>
    <w:rsid w:val="003B10C4"/>
    <w:rsid w:val="003B48EB"/>
    <w:rsid w:val="003B516B"/>
    <w:rsid w:val="003B5CD1"/>
    <w:rsid w:val="003C33FF"/>
    <w:rsid w:val="003C3E0E"/>
    <w:rsid w:val="003C64A5"/>
    <w:rsid w:val="003D03CC"/>
    <w:rsid w:val="003D378C"/>
    <w:rsid w:val="003D3893"/>
    <w:rsid w:val="003D4BB7"/>
    <w:rsid w:val="003E0116"/>
    <w:rsid w:val="003E10EE"/>
    <w:rsid w:val="003E26C3"/>
    <w:rsid w:val="003E6225"/>
    <w:rsid w:val="003F0BC8"/>
    <w:rsid w:val="003F0D6C"/>
    <w:rsid w:val="003F0F26"/>
    <w:rsid w:val="003F12D9"/>
    <w:rsid w:val="003F1B4C"/>
    <w:rsid w:val="003F3CE6"/>
    <w:rsid w:val="003F4015"/>
    <w:rsid w:val="003F677F"/>
    <w:rsid w:val="004008F6"/>
    <w:rsid w:val="00406F33"/>
    <w:rsid w:val="00407C22"/>
    <w:rsid w:val="00412BBE"/>
    <w:rsid w:val="00414B20"/>
    <w:rsid w:val="0041628A"/>
    <w:rsid w:val="00417DE3"/>
    <w:rsid w:val="00420850"/>
    <w:rsid w:val="00423968"/>
    <w:rsid w:val="00425395"/>
    <w:rsid w:val="00427054"/>
    <w:rsid w:val="004304B1"/>
    <w:rsid w:val="0043147D"/>
    <w:rsid w:val="00432DA8"/>
    <w:rsid w:val="0043320A"/>
    <w:rsid w:val="004332E3"/>
    <w:rsid w:val="0043586F"/>
    <w:rsid w:val="004371A3"/>
    <w:rsid w:val="00446960"/>
    <w:rsid w:val="00446F37"/>
    <w:rsid w:val="004518A6"/>
    <w:rsid w:val="00453E1D"/>
    <w:rsid w:val="00454589"/>
    <w:rsid w:val="00456ED0"/>
    <w:rsid w:val="00457550"/>
    <w:rsid w:val="00457B74"/>
    <w:rsid w:val="00461B2A"/>
    <w:rsid w:val="004620A4"/>
    <w:rsid w:val="00471750"/>
    <w:rsid w:val="00474C50"/>
    <w:rsid w:val="004768DB"/>
    <w:rsid w:val="004771F9"/>
    <w:rsid w:val="00486006"/>
    <w:rsid w:val="00486BAD"/>
    <w:rsid w:val="00486BBE"/>
    <w:rsid w:val="00487123"/>
    <w:rsid w:val="00495A75"/>
    <w:rsid w:val="00495CAE"/>
    <w:rsid w:val="0049641F"/>
    <w:rsid w:val="004A005B"/>
    <w:rsid w:val="004A1BD5"/>
    <w:rsid w:val="004A460E"/>
    <w:rsid w:val="004A61E1"/>
    <w:rsid w:val="004A62ED"/>
    <w:rsid w:val="004B1A75"/>
    <w:rsid w:val="004B2344"/>
    <w:rsid w:val="004B29F7"/>
    <w:rsid w:val="004B5797"/>
    <w:rsid w:val="004B5DDC"/>
    <w:rsid w:val="004B798E"/>
    <w:rsid w:val="004C0568"/>
    <w:rsid w:val="004C2ABD"/>
    <w:rsid w:val="004C5F62"/>
    <w:rsid w:val="004D2601"/>
    <w:rsid w:val="004D3E58"/>
    <w:rsid w:val="004D6746"/>
    <w:rsid w:val="004D767B"/>
    <w:rsid w:val="004E0F32"/>
    <w:rsid w:val="004E23A1"/>
    <w:rsid w:val="004E493C"/>
    <w:rsid w:val="004E623E"/>
    <w:rsid w:val="004E7092"/>
    <w:rsid w:val="004E7ECE"/>
    <w:rsid w:val="004F4DB1"/>
    <w:rsid w:val="004F6F64"/>
    <w:rsid w:val="005004EC"/>
    <w:rsid w:val="00506AAE"/>
    <w:rsid w:val="00517756"/>
    <w:rsid w:val="005202C6"/>
    <w:rsid w:val="00523C53"/>
    <w:rsid w:val="00525365"/>
    <w:rsid w:val="005272F4"/>
    <w:rsid w:val="00527B8F"/>
    <w:rsid w:val="00536031"/>
    <w:rsid w:val="0054134B"/>
    <w:rsid w:val="00542012"/>
    <w:rsid w:val="00543DF5"/>
    <w:rsid w:val="00545A61"/>
    <w:rsid w:val="0055260D"/>
    <w:rsid w:val="00554C27"/>
    <w:rsid w:val="005550E6"/>
    <w:rsid w:val="00555422"/>
    <w:rsid w:val="00555810"/>
    <w:rsid w:val="00562715"/>
    <w:rsid w:val="00562DCA"/>
    <w:rsid w:val="0056568F"/>
    <w:rsid w:val="0057436C"/>
    <w:rsid w:val="00575DE3"/>
    <w:rsid w:val="00580B08"/>
    <w:rsid w:val="00582578"/>
    <w:rsid w:val="00584833"/>
    <w:rsid w:val="0058621D"/>
    <w:rsid w:val="00586904"/>
    <w:rsid w:val="005936AC"/>
    <w:rsid w:val="005A4CBE"/>
    <w:rsid w:val="005B040E"/>
    <w:rsid w:val="005B04A8"/>
    <w:rsid w:val="005B1FD0"/>
    <w:rsid w:val="005B28AD"/>
    <w:rsid w:val="005B328D"/>
    <w:rsid w:val="005B3503"/>
    <w:rsid w:val="005B3EE7"/>
    <w:rsid w:val="005B4DCD"/>
    <w:rsid w:val="005B4FAD"/>
    <w:rsid w:val="005C276A"/>
    <w:rsid w:val="005C4E23"/>
    <w:rsid w:val="005D380C"/>
    <w:rsid w:val="005D3F79"/>
    <w:rsid w:val="005D6E04"/>
    <w:rsid w:val="005D7A12"/>
    <w:rsid w:val="005D7DE7"/>
    <w:rsid w:val="005E005F"/>
    <w:rsid w:val="005E53EE"/>
    <w:rsid w:val="005E66FC"/>
    <w:rsid w:val="005F0542"/>
    <w:rsid w:val="005F0F72"/>
    <w:rsid w:val="005F1C1F"/>
    <w:rsid w:val="005F2FAD"/>
    <w:rsid w:val="005F346D"/>
    <w:rsid w:val="005F38FB"/>
    <w:rsid w:val="00602D3B"/>
    <w:rsid w:val="0060326F"/>
    <w:rsid w:val="00606EA1"/>
    <w:rsid w:val="006128F0"/>
    <w:rsid w:val="00616F9E"/>
    <w:rsid w:val="0061726B"/>
    <w:rsid w:val="00617B81"/>
    <w:rsid w:val="00620FEF"/>
    <w:rsid w:val="0062387A"/>
    <w:rsid w:val="006326D8"/>
    <w:rsid w:val="0063377D"/>
    <w:rsid w:val="006344BE"/>
    <w:rsid w:val="00634A66"/>
    <w:rsid w:val="00640336"/>
    <w:rsid w:val="00640FC9"/>
    <w:rsid w:val="006414D3"/>
    <w:rsid w:val="0064173D"/>
    <w:rsid w:val="0064249E"/>
    <w:rsid w:val="006425C0"/>
    <w:rsid w:val="006432F2"/>
    <w:rsid w:val="0065320F"/>
    <w:rsid w:val="00653D64"/>
    <w:rsid w:val="00654E13"/>
    <w:rsid w:val="00667489"/>
    <w:rsid w:val="00667A57"/>
    <w:rsid w:val="00670D44"/>
    <w:rsid w:val="00673F4C"/>
    <w:rsid w:val="00676AFC"/>
    <w:rsid w:val="006807CD"/>
    <w:rsid w:val="00682D43"/>
    <w:rsid w:val="0068507D"/>
    <w:rsid w:val="00685BAF"/>
    <w:rsid w:val="00690463"/>
    <w:rsid w:val="00693DE5"/>
    <w:rsid w:val="006A0D03"/>
    <w:rsid w:val="006A41E9"/>
    <w:rsid w:val="006B0C0F"/>
    <w:rsid w:val="006B12CB"/>
    <w:rsid w:val="006B2030"/>
    <w:rsid w:val="006B5916"/>
    <w:rsid w:val="006C4775"/>
    <w:rsid w:val="006C4F4A"/>
    <w:rsid w:val="006C5E80"/>
    <w:rsid w:val="006C7CEE"/>
    <w:rsid w:val="006D075E"/>
    <w:rsid w:val="006D09DC"/>
    <w:rsid w:val="006D3509"/>
    <w:rsid w:val="006D7C6E"/>
    <w:rsid w:val="006E15A2"/>
    <w:rsid w:val="006E2F95"/>
    <w:rsid w:val="006F148B"/>
    <w:rsid w:val="00705EAF"/>
    <w:rsid w:val="0070773E"/>
    <w:rsid w:val="007101CC"/>
    <w:rsid w:val="00715C55"/>
    <w:rsid w:val="00724E3B"/>
    <w:rsid w:val="00725EEA"/>
    <w:rsid w:val="007276B6"/>
    <w:rsid w:val="00730908"/>
    <w:rsid w:val="00730CE9"/>
    <w:rsid w:val="0073373D"/>
    <w:rsid w:val="00736B1E"/>
    <w:rsid w:val="007439DB"/>
    <w:rsid w:val="007464DA"/>
    <w:rsid w:val="007568D8"/>
    <w:rsid w:val="00760503"/>
    <w:rsid w:val="007616B4"/>
    <w:rsid w:val="00765316"/>
    <w:rsid w:val="007708C8"/>
    <w:rsid w:val="0077719D"/>
    <w:rsid w:val="00780DF0"/>
    <w:rsid w:val="007810B7"/>
    <w:rsid w:val="00782F0F"/>
    <w:rsid w:val="0078538F"/>
    <w:rsid w:val="00787482"/>
    <w:rsid w:val="00792A66"/>
    <w:rsid w:val="007951ED"/>
    <w:rsid w:val="007974D1"/>
    <w:rsid w:val="007A286D"/>
    <w:rsid w:val="007A314D"/>
    <w:rsid w:val="007A38DF"/>
    <w:rsid w:val="007B00E5"/>
    <w:rsid w:val="007B20CF"/>
    <w:rsid w:val="007B2499"/>
    <w:rsid w:val="007B72E1"/>
    <w:rsid w:val="007B783A"/>
    <w:rsid w:val="007C1B95"/>
    <w:rsid w:val="007C3DF3"/>
    <w:rsid w:val="007C796D"/>
    <w:rsid w:val="007D1207"/>
    <w:rsid w:val="007D73FB"/>
    <w:rsid w:val="007D7608"/>
    <w:rsid w:val="007E2F2D"/>
    <w:rsid w:val="007F1433"/>
    <w:rsid w:val="007F1491"/>
    <w:rsid w:val="007F16DD"/>
    <w:rsid w:val="007F2F03"/>
    <w:rsid w:val="007F42CE"/>
    <w:rsid w:val="00800FE0"/>
    <w:rsid w:val="0080514E"/>
    <w:rsid w:val="008066AD"/>
    <w:rsid w:val="00812CD8"/>
    <w:rsid w:val="008145D9"/>
    <w:rsid w:val="00814AF1"/>
    <w:rsid w:val="0081517F"/>
    <w:rsid w:val="0081532F"/>
    <w:rsid w:val="00815370"/>
    <w:rsid w:val="0082153D"/>
    <w:rsid w:val="008255AA"/>
    <w:rsid w:val="00830FF3"/>
    <w:rsid w:val="008334BF"/>
    <w:rsid w:val="00836B8C"/>
    <w:rsid w:val="00840062"/>
    <w:rsid w:val="008410C5"/>
    <w:rsid w:val="00846C08"/>
    <w:rsid w:val="00850794"/>
    <w:rsid w:val="008516F9"/>
    <w:rsid w:val="00852FF2"/>
    <w:rsid w:val="008530E7"/>
    <w:rsid w:val="00856BDB"/>
    <w:rsid w:val="00857675"/>
    <w:rsid w:val="0086185D"/>
    <w:rsid w:val="00861F86"/>
    <w:rsid w:val="00863A6D"/>
    <w:rsid w:val="00867C0D"/>
    <w:rsid w:val="00872C48"/>
    <w:rsid w:val="00874D4A"/>
    <w:rsid w:val="00875EC3"/>
    <w:rsid w:val="008763E7"/>
    <w:rsid w:val="008808C5"/>
    <w:rsid w:val="00881A7C"/>
    <w:rsid w:val="00883C78"/>
    <w:rsid w:val="00883F30"/>
    <w:rsid w:val="00885159"/>
    <w:rsid w:val="00885214"/>
    <w:rsid w:val="00887615"/>
    <w:rsid w:val="00890052"/>
    <w:rsid w:val="008947AE"/>
    <w:rsid w:val="00894E3A"/>
    <w:rsid w:val="00895A2F"/>
    <w:rsid w:val="00896EBD"/>
    <w:rsid w:val="008A026F"/>
    <w:rsid w:val="008A2F03"/>
    <w:rsid w:val="008A5665"/>
    <w:rsid w:val="008B24A8"/>
    <w:rsid w:val="008B25E4"/>
    <w:rsid w:val="008B3D78"/>
    <w:rsid w:val="008C261B"/>
    <w:rsid w:val="008C2B29"/>
    <w:rsid w:val="008C4FCA"/>
    <w:rsid w:val="008C7882"/>
    <w:rsid w:val="008C7CE5"/>
    <w:rsid w:val="008D2261"/>
    <w:rsid w:val="008D4C28"/>
    <w:rsid w:val="008D577B"/>
    <w:rsid w:val="008D7A98"/>
    <w:rsid w:val="008E17C4"/>
    <w:rsid w:val="008E45C4"/>
    <w:rsid w:val="008E64B1"/>
    <w:rsid w:val="008E64FA"/>
    <w:rsid w:val="008E74ED"/>
    <w:rsid w:val="008E7ED6"/>
    <w:rsid w:val="008F450A"/>
    <w:rsid w:val="008F4DEF"/>
    <w:rsid w:val="00903D0D"/>
    <w:rsid w:val="009048E1"/>
    <w:rsid w:val="0090598C"/>
    <w:rsid w:val="00905CAB"/>
    <w:rsid w:val="009071BB"/>
    <w:rsid w:val="00913885"/>
    <w:rsid w:val="00915ABF"/>
    <w:rsid w:val="00921CAD"/>
    <w:rsid w:val="0092611E"/>
    <w:rsid w:val="009311ED"/>
    <w:rsid w:val="00931D41"/>
    <w:rsid w:val="00932165"/>
    <w:rsid w:val="00933D18"/>
    <w:rsid w:val="00942221"/>
    <w:rsid w:val="00950FBB"/>
    <w:rsid w:val="00951118"/>
    <w:rsid w:val="0095122F"/>
    <w:rsid w:val="00953349"/>
    <w:rsid w:val="00953E4C"/>
    <w:rsid w:val="00954E0C"/>
    <w:rsid w:val="00957300"/>
    <w:rsid w:val="00961156"/>
    <w:rsid w:val="00964F03"/>
    <w:rsid w:val="00966F1F"/>
    <w:rsid w:val="00975676"/>
    <w:rsid w:val="00976467"/>
    <w:rsid w:val="00976D32"/>
    <w:rsid w:val="0098273A"/>
    <w:rsid w:val="009841DD"/>
    <w:rsid w:val="009844F7"/>
    <w:rsid w:val="009938F7"/>
    <w:rsid w:val="00995A7D"/>
    <w:rsid w:val="009A05AA"/>
    <w:rsid w:val="009A2BF4"/>
    <w:rsid w:val="009A2D5A"/>
    <w:rsid w:val="009A6509"/>
    <w:rsid w:val="009A6E2F"/>
    <w:rsid w:val="009B2969"/>
    <w:rsid w:val="009B2C7E"/>
    <w:rsid w:val="009B52A3"/>
    <w:rsid w:val="009B6DBD"/>
    <w:rsid w:val="009C108A"/>
    <w:rsid w:val="009C2E47"/>
    <w:rsid w:val="009C6BFB"/>
    <w:rsid w:val="009D0C05"/>
    <w:rsid w:val="009E24B7"/>
    <w:rsid w:val="009E2C00"/>
    <w:rsid w:val="009E49AD"/>
    <w:rsid w:val="009E4CC5"/>
    <w:rsid w:val="009E66FE"/>
    <w:rsid w:val="009E70F4"/>
    <w:rsid w:val="009E72A3"/>
    <w:rsid w:val="009F1AD2"/>
    <w:rsid w:val="009F568A"/>
    <w:rsid w:val="00A00C78"/>
    <w:rsid w:val="00A0479E"/>
    <w:rsid w:val="00A07979"/>
    <w:rsid w:val="00A11755"/>
    <w:rsid w:val="00A16BAC"/>
    <w:rsid w:val="00A207FB"/>
    <w:rsid w:val="00A20ADC"/>
    <w:rsid w:val="00A24016"/>
    <w:rsid w:val="00A265BF"/>
    <w:rsid w:val="00A26F44"/>
    <w:rsid w:val="00A34FAB"/>
    <w:rsid w:val="00A42C43"/>
    <w:rsid w:val="00A4313D"/>
    <w:rsid w:val="00A50120"/>
    <w:rsid w:val="00A60351"/>
    <w:rsid w:val="00A61C6D"/>
    <w:rsid w:val="00A63015"/>
    <w:rsid w:val="00A6387B"/>
    <w:rsid w:val="00A6482F"/>
    <w:rsid w:val="00A66254"/>
    <w:rsid w:val="00A678B4"/>
    <w:rsid w:val="00A704A3"/>
    <w:rsid w:val="00A75E23"/>
    <w:rsid w:val="00A82AA0"/>
    <w:rsid w:val="00A82F8A"/>
    <w:rsid w:val="00A84622"/>
    <w:rsid w:val="00A84BF0"/>
    <w:rsid w:val="00A9226B"/>
    <w:rsid w:val="00A9575C"/>
    <w:rsid w:val="00A95B56"/>
    <w:rsid w:val="00A95E81"/>
    <w:rsid w:val="00A969AF"/>
    <w:rsid w:val="00AA308A"/>
    <w:rsid w:val="00AB1A2E"/>
    <w:rsid w:val="00AB328A"/>
    <w:rsid w:val="00AB4918"/>
    <w:rsid w:val="00AB4BC8"/>
    <w:rsid w:val="00AB6BA7"/>
    <w:rsid w:val="00AB7BE8"/>
    <w:rsid w:val="00AD0710"/>
    <w:rsid w:val="00AD4DB9"/>
    <w:rsid w:val="00AD63C0"/>
    <w:rsid w:val="00AE35B2"/>
    <w:rsid w:val="00AE6AA0"/>
    <w:rsid w:val="00AF406C"/>
    <w:rsid w:val="00AF45ED"/>
    <w:rsid w:val="00B00CA4"/>
    <w:rsid w:val="00B02195"/>
    <w:rsid w:val="00B075D6"/>
    <w:rsid w:val="00B10790"/>
    <w:rsid w:val="00B113B9"/>
    <w:rsid w:val="00B119A2"/>
    <w:rsid w:val="00B13B6D"/>
    <w:rsid w:val="00B177F2"/>
    <w:rsid w:val="00B201F1"/>
    <w:rsid w:val="00B2603F"/>
    <w:rsid w:val="00B304E7"/>
    <w:rsid w:val="00B318B6"/>
    <w:rsid w:val="00B3499B"/>
    <w:rsid w:val="00B36E65"/>
    <w:rsid w:val="00B41D57"/>
    <w:rsid w:val="00B41F47"/>
    <w:rsid w:val="00B44468"/>
    <w:rsid w:val="00B60AC9"/>
    <w:rsid w:val="00B660D6"/>
    <w:rsid w:val="00B67323"/>
    <w:rsid w:val="00B715F2"/>
    <w:rsid w:val="00B74071"/>
    <w:rsid w:val="00B7428E"/>
    <w:rsid w:val="00B74B67"/>
    <w:rsid w:val="00B75580"/>
    <w:rsid w:val="00B779AA"/>
    <w:rsid w:val="00B81C95"/>
    <w:rsid w:val="00B82330"/>
    <w:rsid w:val="00B82ED4"/>
    <w:rsid w:val="00B8424F"/>
    <w:rsid w:val="00B86896"/>
    <w:rsid w:val="00B875A6"/>
    <w:rsid w:val="00B93E4C"/>
    <w:rsid w:val="00B94A1B"/>
    <w:rsid w:val="00B9784D"/>
    <w:rsid w:val="00BA5C89"/>
    <w:rsid w:val="00BB04EB"/>
    <w:rsid w:val="00BB0AA7"/>
    <w:rsid w:val="00BB2539"/>
    <w:rsid w:val="00BB4CE2"/>
    <w:rsid w:val="00BB5EF0"/>
    <w:rsid w:val="00BB6025"/>
    <w:rsid w:val="00BB6724"/>
    <w:rsid w:val="00BB6835"/>
    <w:rsid w:val="00BC0EFB"/>
    <w:rsid w:val="00BC127A"/>
    <w:rsid w:val="00BC2E39"/>
    <w:rsid w:val="00BD0909"/>
    <w:rsid w:val="00BD2364"/>
    <w:rsid w:val="00BD28E3"/>
    <w:rsid w:val="00BD5DD3"/>
    <w:rsid w:val="00BE117E"/>
    <w:rsid w:val="00BE3261"/>
    <w:rsid w:val="00BF00EF"/>
    <w:rsid w:val="00BF58FC"/>
    <w:rsid w:val="00C01F77"/>
    <w:rsid w:val="00C01FFC"/>
    <w:rsid w:val="00C05321"/>
    <w:rsid w:val="00C06AE4"/>
    <w:rsid w:val="00C114FF"/>
    <w:rsid w:val="00C11D49"/>
    <w:rsid w:val="00C12F42"/>
    <w:rsid w:val="00C171A1"/>
    <w:rsid w:val="00C171A4"/>
    <w:rsid w:val="00C17F12"/>
    <w:rsid w:val="00C20734"/>
    <w:rsid w:val="00C20B9C"/>
    <w:rsid w:val="00C21C1A"/>
    <w:rsid w:val="00C237E9"/>
    <w:rsid w:val="00C32240"/>
    <w:rsid w:val="00C32989"/>
    <w:rsid w:val="00C32BD1"/>
    <w:rsid w:val="00C341E6"/>
    <w:rsid w:val="00C34260"/>
    <w:rsid w:val="00C36883"/>
    <w:rsid w:val="00C40928"/>
    <w:rsid w:val="00C40CFF"/>
    <w:rsid w:val="00C42697"/>
    <w:rsid w:val="00C43F01"/>
    <w:rsid w:val="00C44C2A"/>
    <w:rsid w:val="00C4587E"/>
    <w:rsid w:val="00C47552"/>
    <w:rsid w:val="00C528FE"/>
    <w:rsid w:val="00C56F31"/>
    <w:rsid w:val="00C57A81"/>
    <w:rsid w:val="00C60193"/>
    <w:rsid w:val="00C634D4"/>
    <w:rsid w:val="00C63AA5"/>
    <w:rsid w:val="00C65071"/>
    <w:rsid w:val="00C65FCC"/>
    <w:rsid w:val="00C6727C"/>
    <w:rsid w:val="00C6744C"/>
    <w:rsid w:val="00C73134"/>
    <w:rsid w:val="00C73F6D"/>
    <w:rsid w:val="00C74F6E"/>
    <w:rsid w:val="00C77FA4"/>
    <w:rsid w:val="00C77FFA"/>
    <w:rsid w:val="00C80401"/>
    <w:rsid w:val="00C81C97"/>
    <w:rsid w:val="00C828CF"/>
    <w:rsid w:val="00C840C2"/>
    <w:rsid w:val="00C84101"/>
    <w:rsid w:val="00C8535F"/>
    <w:rsid w:val="00C90EDA"/>
    <w:rsid w:val="00C959E7"/>
    <w:rsid w:val="00CA28D8"/>
    <w:rsid w:val="00CB6D6A"/>
    <w:rsid w:val="00CC1E65"/>
    <w:rsid w:val="00CC567A"/>
    <w:rsid w:val="00CC784E"/>
    <w:rsid w:val="00CC7F70"/>
    <w:rsid w:val="00CD4059"/>
    <w:rsid w:val="00CD4E5A"/>
    <w:rsid w:val="00CD6AFD"/>
    <w:rsid w:val="00CE03CE"/>
    <w:rsid w:val="00CE0F5D"/>
    <w:rsid w:val="00CE1A6A"/>
    <w:rsid w:val="00CF069C"/>
    <w:rsid w:val="00CF0DFF"/>
    <w:rsid w:val="00D00E53"/>
    <w:rsid w:val="00D028A9"/>
    <w:rsid w:val="00D0359D"/>
    <w:rsid w:val="00D04DED"/>
    <w:rsid w:val="00D1089A"/>
    <w:rsid w:val="00D116BD"/>
    <w:rsid w:val="00D16B7B"/>
    <w:rsid w:val="00D16FE0"/>
    <w:rsid w:val="00D2001A"/>
    <w:rsid w:val="00D20684"/>
    <w:rsid w:val="00D26B62"/>
    <w:rsid w:val="00D32624"/>
    <w:rsid w:val="00D3691A"/>
    <w:rsid w:val="00D377E2"/>
    <w:rsid w:val="00D403E9"/>
    <w:rsid w:val="00D42DCB"/>
    <w:rsid w:val="00D45482"/>
    <w:rsid w:val="00D46DF2"/>
    <w:rsid w:val="00D47674"/>
    <w:rsid w:val="00D5338C"/>
    <w:rsid w:val="00D606B2"/>
    <w:rsid w:val="00D625A7"/>
    <w:rsid w:val="00D63575"/>
    <w:rsid w:val="00D64074"/>
    <w:rsid w:val="00D65777"/>
    <w:rsid w:val="00D728A0"/>
    <w:rsid w:val="00D74018"/>
    <w:rsid w:val="00D83661"/>
    <w:rsid w:val="00D9216A"/>
    <w:rsid w:val="00D95BBB"/>
    <w:rsid w:val="00D97E7D"/>
    <w:rsid w:val="00DA16B5"/>
    <w:rsid w:val="00DA2A06"/>
    <w:rsid w:val="00DB1C8C"/>
    <w:rsid w:val="00DB3439"/>
    <w:rsid w:val="00DB3618"/>
    <w:rsid w:val="00DB468A"/>
    <w:rsid w:val="00DC2946"/>
    <w:rsid w:val="00DC4340"/>
    <w:rsid w:val="00DC550F"/>
    <w:rsid w:val="00DC64FD"/>
    <w:rsid w:val="00DD432E"/>
    <w:rsid w:val="00DD53C3"/>
    <w:rsid w:val="00DD669D"/>
    <w:rsid w:val="00DE127F"/>
    <w:rsid w:val="00DE424A"/>
    <w:rsid w:val="00DE43B3"/>
    <w:rsid w:val="00DE4419"/>
    <w:rsid w:val="00DE636A"/>
    <w:rsid w:val="00DE67C4"/>
    <w:rsid w:val="00DF0ACA"/>
    <w:rsid w:val="00DF2245"/>
    <w:rsid w:val="00DF35C8"/>
    <w:rsid w:val="00DF3696"/>
    <w:rsid w:val="00DF4CE9"/>
    <w:rsid w:val="00DF4F68"/>
    <w:rsid w:val="00DF77CF"/>
    <w:rsid w:val="00E0068C"/>
    <w:rsid w:val="00E026E8"/>
    <w:rsid w:val="00E04CDF"/>
    <w:rsid w:val="00E060F7"/>
    <w:rsid w:val="00E117F9"/>
    <w:rsid w:val="00E124D3"/>
    <w:rsid w:val="00E1267F"/>
    <w:rsid w:val="00E14C47"/>
    <w:rsid w:val="00E22698"/>
    <w:rsid w:val="00E25B7C"/>
    <w:rsid w:val="00E3076B"/>
    <w:rsid w:val="00E32EF8"/>
    <w:rsid w:val="00E33224"/>
    <w:rsid w:val="00E3725B"/>
    <w:rsid w:val="00E434D1"/>
    <w:rsid w:val="00E56CBB"/>
    <w:rsid w:val="00E579A6"/>
    <w:rsid w:val="00E61950"/>
    <w:rsid w:val="00E61E51"/>
    <w:rsid w:val="00E6552A"/>
    <w:rsid w:val="00E65731"/>
    <w:rsid w:val="00E6707D"/>
    <w:rsid w:val="00E70337"/>
    <w:rsid w:val="00E70E7C"/>
    <w:rsid w:val="00E71313"/>
    <w:rsid w:val="00E72606"/>
    <w:rsid w:val="00E73C3E"/>
    <w:rsid w:val="00E74050"/>
    <w:rsid w:val="00E82496"/>
    <w:rsid w:val="00E834CD"/>
    <w:rsid w:val="00E846DC"/>
    <w:rsid w:val="00E8486F"/>
    <w:rsid w:val="00E84E9D"/>
    <w:rsid w:val="00E86CEE"/>
    <w:rsid w:val="00E9093C"/>
    <w:rsid w:val="00E935AF"/>
    <w:rsid w:val="00EA60C5"/>
    <w:rsid w:val="00EB0E20"/>
    <w:rsid w:val="00EB1682"/>
    <w:rsid w:val="00EB1A80"/>
    <w:rsid w:val="00EB3055"/>
    <w:rsid w:val="00EB3D68"/>
    <w:rsid w:val="00EB457B"/>
    <w:rsid w:val="00EC27E1"/>
    <w:rsid w:val="00EC3E4B"/>
    <w:rsid w:val="00EC47C4"/>
    <w:rsid w:val="00EC4F3A"/>
    <w:rsid w:val="00EC5045"/>
    <w:rsid w:val="00EC5E74"/>
    <w:rsid w:val="00ED594D"/>
    <w:rsid w:val="00EE36E1"/>
    <w:rsid w:val="00EE6228"/>
    <w:rsid w:val="00EE7AC7"/>
    <w:rsid w:val="00EE7B3F"/>
    <w:rsid w:val="00EF2247"/>
    <w:rsid w:val="00EF3A8A"/>
    <w:rsid w:val="00F0054D"/>
    <w:rsid w:val="00F02467"/>
    <w:rsid w:val="00F04D0E"/>
    <w:rsid w:val="00F12214"/>
    <w:rsid w:val="00F12565"/>
    <w:rsid w:val="00F129C7"/>
    <w:rsid w:val="00F144BE"/>
    <w:rsid w:val="00F14ACA"/>
    <w:rsid w:val="00F170D9"/>
    <w:rsid w:val="00F17A0C"/>
    <w:rsid w:val="00F23927"/>
    <w:rsid w:val="00F26644"/>
    <w:rsid w:val="00F26A05"/>
    <w:rsid w:val="00F307CE"/>
    <w:rsid w:val="00F343C8"/>
    <w:rsid w:val="00F345A8"/>
    <w:rsid w:val="00F354C5"/>
    <w:rsid w:val="00F37108"/>
    <w:rsid w:val="00F40449"/>
    <w:rsid w:val="00F45B8E"/>
    <w:rsid w:val="00F47BAA"/>
    <w:rsid w:val="00F50315"/>
    <w:rsid w:val="00F520FE"/>
    <w:rsid w:val="00F52887"/>
    <w:rsid w:val="00F52EAB"/>
    <w:rsid w:val="00F55A04"/>
    <w:rsid w:val="00F572EF"/>
    <w:rsid w:val="00F61A31"/>
    <w:rsid w:val="00F62DEC"/>
    <w:rsid w:val="00F658DA"/>
    <w:rsid w:val="00F66F00"/>
    <w:rsid w:val="00F67A2D"/>
    <w:rsid w:val="00F70A1B"/>
    <w:rsid w:val="00F72FDF"/>
    <w:rsid w:val="00F75960"/>
    <w:rsid w:val="00F76FDB"/>
    <w:rsid w:val="00F801AF"/>
    <w:rsid w:val="00F82526"/>
    <w:rsid w:val="00F84672"/>
    <w:rsid w:val="00F84802"/>
    <w:rsid w:val="00F84AED"/>
    <w:rsid w:val="00F94330"/>
    <w:rsid w:val="00F95A8C"/>
    <w:rsid w:val="00F9649E"/>
    <w:rsid w:val="00FA06FD"/>
    <w:rsid w:val="00FA515B"/>
    <w:rsid w:val="00FA6B90"/>
    <w:rsid w:val="00FA70F9"/>
    <w:rsid w:val="00FA74CB"/>
    <w:rsid w:val="00FB207A"/>
    <w:rsid w:val="00FB2886"/>
    <w:rsid w:val="00FB466E"/>
    <w:rsid w:val="00FB6F2F"/>
    <w:rsid w:val="00FC02F3"/>
    <w:rsid w:val="00FC303C"/>
    <w:rsid w:val="00FC752C"/>
    <w:rsid w:val="00FD0492"/>
    <w:rsid w:val="00FD13EC"/>
    <w:rsid w:val="00FD1E45"/>
    <w:rsid w:val="00FD4DA8"/>
    <w:rsid w:val="00FD4EEF"/>
    <w:rsid w:val="00FD5461"/>
    <w:rsid w:val="00FD642D"/>
    <w:rsid w:val="00FD6BDB"/>
    <w:rsid w:val="00FD6F00"/>
    <w:rsid w:val="00FD6FF1"/>
    <w:rsid w:val="00FD7AB4"/>
    <w:rsid w:val="00FD7B98"/>
    <w:rsid w:val="00FE55DA"/>
    <w:rsid w:val="00FF18D2"/>
    <w:rsid w:val="00FF22F5"/>
    <w:rsid w:val="00FF4664"/>
    <w:rsid w:val="00FF757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3F8B46"/>
  <w15:docId w15:val="{ED6A0F45-8D5D-4F33-B5A4-E1A7660B0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3A6CCB"/>
    <w:pPr>
      <w:tabs>
        <w:tab w:val="left" w:pos="567"/>
      </w:tabs>
      <w:spacing w:line="260" w:lineRule="exact"/>
    </w:pPr>
    <w:rPr>
      <w:sz w:val="22"/>
      <w:lang w:eastAsia="en-US"/>
    </w:rPr>
  </w:style>
  <w:style w:type="paragraph" w:styleId="Nadpis1">
    <w:name w:val="heading 1"/>
    <w:basedOn w:val="Normln"/>
    <w:next w:val="Normln"/>
    <w:qFormat/>
    <w:pPr>
      <w:spacing w:before="240" w:after="120"/>
      <w:ind w:left="357" w:hanging="357"/>
      <w:outlineLvl w:val="0"/>
    </w:pPr>
    <w:rPr>
      <w:b/>
      <w:caps/>
      <w:sz w:val="26"/>
    </w:rPr>
  </w:style>
  <w:style w:type="paragraph" w:styleId="Nadpis2">
    <w:name w:val="heading 2"/>
    <w:basedOn w:val="Normln"/>
    <w:next w:val="Normln"/>
    <w:qFormat/>
    <w:pPr>
      <w:keepNext/>
      <w:spacing w:before="240" w:after="60"/>
      <w:outlineLvl w:val="1"/>
    </w:pPr>
    <w:rPr>
      <w:rFonts w:ascii="Helvetica" w:hAnsi="Helvetica"/>
      <w:b/>
      <w:i/>
      <w:sz w:val="24"/>
    </w:rPr>
  </w:style>
  <w:style w:type="paragraph" w:styleId="Nadpis3">
    <w:name w:val="heading 3"/>
    <w:basedOn w:val="Normln"/>
    <w:next w:val="Normln"/>
    <w:qFormat/>
    <w:pPr>
      <w:keepNext/>
      <w:keepLines/>
      <w:spacing w:before="120" w:after="80"/>
      <w:outlineLvl w:val="2"/>
    </w:pPr>
    <w:rPr>
      <w:b/>
      <w:kern w:val="28"/>
      <w:sz w:val="24"/>
    </w:rPr>
  </w:style>
  <w:style w:type="paragraph" w:styleId="Nadpis4">
    <w:name w:val="heading 4"/>
    <w:basedOn w:val="Normln"/>
    <w:next w:val="Normln"/>
    <w:qFormat/>
    <w:pPr>
      <w:keepNext/>
      <w:tabs>
        <w:tab w:val="clear" w:pos="567"/>
      </w:tabs>
      <w:outlineLvl w:val="3"/>
    </w:pPr>
    <w:rPr>
      <w:b/>
      <w:noProof/>
    </w:rPr>
  </w:style>
  <w:style w:type="paragraph" w:styleId="Nadpis5">
    <w:name w:val="heading 5"/>
    <w:basedOn w:val="Normln"/>
    <w:next w:val="Normln"/>
    <w:qFormat/>
    <w:pPr>
      <w:keepNext/>
      <w:tabs>
        <w:tab w:val="clear" w:pos="567"/>
      </w:tabs>
      <w:jc w:val="center"/>
      <w:outlineLvl w:val="4"/>
    </w:pPr>
    <w:rPr>
      <w:b/>
      <w:noProof/>
    </w:rPr>
  </w:style>
  <w:style w:type="paragraph" w:styleId="Nadpis6">
    <w:name w:val="heading 6"/>
    <w:basedOn w:val="Normln"/>
    <w:next w:val="Normln"/>
    <w:qFormat/>
    <w:pPr>
      <w:keepNext/>
      <w:tabs>
        <w:tab w:val="left" w:pos="-720"/>
        <w:tab w:val="left" w:pos="4536"/>
      </w:tabs>
      <w:suppressAutoHyphens/>
      <w:outlineLvl w:val="5"/>
    </w:pPr>
    <w:rPr>
      <w:i/>
    </w:rPr>
  </w:style>
  <w:style w:type="paragraph" w:styleId="Nadpis7">
    <w:name w:val="heading 7"/>
    <w:basedOn w:val="Normln"/>
    <w:next w:val="Normln"/>
    <w:qFormat/>
    <w:pPr>
      <w:keepNext/>
      <w:tabs>
        <w:tab w:val="left" w:pos="-720"/>
        <w:tab w:val="left" w:pos="4536"/>
      </w:tabs>
      <w:suppressAutoHyphens/>
      <w:jc w:val="both"/>
      <w:outlineLvl w:val="6"/>
    </w:pPr>
    <w:rPr>
      <w:i/>
    </w:rPr>
  </w:style>
  <w:style w:type="paragraph" w:styleId="Nadpis8">
    <w:name w:val="heading 8"/>
    <w:basedOn w:val="Normln"/>
    <w:next w:val="Normln"/>
    <w:qFormat/>
    <w:pPr>
      <w:keepNext/>
      <w:tabs>
        <w:tab w:val="clear" w:pos="567"/>
      </w:tabs>
      <w:ind w:right="-318"/>
      <w:outlineLvl w:val="7"/>
    </w:pPr>
    <w:rPr>
      <w:b/>
    </w:rPr>
  </w:style>
  <w:style w:type="paragraph" w:styleId="Nadpis9">
    <w:name w:val="heading 9"/>
    <w:basedOn w:val="Normln"/>
    <w:next w:val="Normln"/>
    <w:qFormat/>
    <w:pPr>
      <w:keepNext/>
      <w:tabs>
        <w:tab w:val="clear" w:pos="567"/>
      </w:tabs>
      <w:ind w:left="2268" w:right="1711" w:hanging="567"/>
      <w:outlineLvl w:val="8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153"/>
        <w:tab w:val="right" w:pos="8306"/>
      </w:tabs>
      <w:spacing w:line="240" w:lineRule="auto"/>
    </w:pPr>
    <w:rPr>
      <w:rFonts w:ascii="Helvetica" w:hAnsi="Helvetica"/>
      <w:sz w:val="20"/>
    </w:rPr>
  </w:style>
  <w:style w:type="paragraph" w:styleId="Zpat">
    <w:name w:val="footer"/>
    <w:basedOn w:val="Normln"/>
    <w:pPr>
      <w:tabs>
        <w:tab w:val="clear" w:pos="567"/>
        <w:tab w:val="center" w:pos="4536"/>
        <w:tab w:val="center" w:pos="8930"/>
      </w:tabs>
      <w:spacing w:line="240" w:lineRule="auto"/>
    </w:pPr>
    <w:rPr>
      <w:rFonts w:ascii="Helvetica" w:hAnsi="Helvetica"/>
      <w:sz w:val="16"/>
    </w:rPr>
  </w:style>
  <w:style w:type="paragraph" w:styleId="Obsah9">
    <w:name w:val="toc 9"/>
    <w:basedOn w:val="Normln"/>
    <w:next w:val="Normln"/>
    <w:semiHidden/>
    <w:pPr>
      <w:tabs>
        <w:tab w:val="clear" w:pos="567"/>
      </w:tabs>
      <w:ind w:left="1760"/>
    </w:pPr>
  </w:style>
  <w:style w:type="character" w:styleId="Odkaznavysvtlivky">
    <w:name w:val="endnote reference"/>
    <w:semiHidden/>
    <w:rPr>
      <w:vertAlign w:val="superscript"/>
    </w:rPr>
  </w:style>
  <w:style w:type="character" w:styleId="Znakapoznpodarou">
    <w:name w:val="footnote reference"/>
    <w:semiHidden/>
    <w:rPr>
      <w:vertAlign w:val="superscript"/>
    </w:rPr>
  </w:style>
  <w:style w:type="paragraph" w:styleId="Textpoznpodarou">
    <w:name w:val="footnote text"/>
    <w:basedOn w:val="Normln"/>
    <w:semiHidden/>
    <w:pPr>
      <w:tabs>
        <w:tab w:val="clear" w:pos="567"/>
      </w:tabs>
      <w:spacing w:line="240" w:lineRule="auto"/>
      <w:jc w:val="both"/>
    </w:pPr>
    <w:rPr>
      <w:sz w:val="20"/>
    </w:rPr>
  </w:style>
  <w:style w:type="paragraph" w:styleId="Zkladntext">
    <w:name w:val="Body Text"/>
    <w:basedOn w:val="Normln"/>
    <w:pPr>
      <w:tabs>
        <w:tab w:val="clear" w:pos="567"/>
      </w:tabs>
      <w:spacing w:line="240" w:lineRule="auto"/>
      <w:jc w:val="both"/>
    </w:pPr>
  </w:style>
  <w:style w:type="paragraph" w:styleId="Textvbloku">
    <w:name w:val="Block Text"/>
    <w:basedOn w:val="Normln"/>
    <w:pPr>
      <w:tabs>
        <w:tab w:val="clear" w:pos="567"/>
      </w:tabs>
      <w:ind w:left="2268" w:right="1711" w:hanging="567"/>
    </w:pPr>
    <w:rPr>
      <w:b/>
    </w:rPr>
  </w:style>
  <w:style w:type="paragraph" w:styleId="Zkladntext2">
    <w:name w:val="Body Text 2"/>
    <w:basedOn w:val="Normln"/>
    <w:pPr>
      <w:tabs>
        <w:tab w:val="clear" w:pos="567"/>
      </w:tabs>
      <w:spacing w:line="240" w:lineRule="auto"/>
    </w:pPr>
    <w:rPr>
      <w:i/>
      <w:color w:val="008000"/>
    </w:rPr>
  </w:style>
  <w:style w:type="paragraph" w:styleId="Zkladntext3">
    <w:name w:val="Body Text 3"/>
    <w:basedOn w:val="Normln"/>
    <w:pPr>
      <w:ind w:right="113"/>
      <w:jc w:val="both"/>
    </w:pPr>
    <w:rPr>
      <w:b/>
    </w:rPr>
  </w:style>
  <w:style w:type="paragraph" w:styleId="Textvysvtlivek">
    <w:name w:val="endnote text"/>
    <w:basedOn w:val="Normln"/>
    <w:link w:val="TextvysvtlivekChar"/>
    <w:semiHidden/>
    <w:pPr>
      <w:spacing w:line="240" w:lineRule="auto"/>
    </w:pPr>
  </w:style>
  <w:style w:type="character" w:styleId="Odkaznakoment">
    <w:name w:val="annotation reference"/>
    <w:qFormat/>
    <w:rPr>
      <w:sz w:val="16"/>
    </w:rPr>
  </w:style>
  <w:style w:type="paragraph" w:styleId="Zkladntextodsazen2">
    <w:name w:val="Body Text Indent 2"/>
    <w:basedOn w:val="Normln"/>
    <w:pPr>
      <w:ind w:left="567" w:hanging="567"/>
      <w:jc w:val="both"/>
    </w:pPr>
    <w:rPr>
      <w:b/>
    </w:rPr>
  </w:style>
  <w:style w:type="paragraph" w:styleId="Textkomente">
    <w:name w:val="annotation text"/>
    <w:aliases w:val="Kommentarer"/>
    <w:basedOn w:val="Normln"/>
    <w:link w:val="TextkomenteChar"/>
    <w:uiPriority w:val="99"/>
    <w:qFormat/>
    <w:rPr>
      <w:sz w:val="20"/>
    </w:rPr>
  </w:style>
  <w:style w:type="paragraph" w:customStyle="1" w:styleId="BodyText20">
    <w:name w:val="Body Text 2_0"/>
    <w:basedOn w:val="Normln"/>
    <w:pPr>
      <w:ind w:left="567" w:hanging="567"/>
    </w:pPr>
    <w:rPr>
      <w:b/>
    </w:rPr>
  </w:style>
  <w:style w:type="paragraph" w:customStyle="1" w:styleId="BodyText21">
    <w:name w:val="Body Text 2_1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Zkladntextodsazen3">
    <w:name w:val="Body Text Indent 3"/>
    <w:basedOn w:val="Normln"/>
    <w:pPr>
      <w:spacing w:line="240" w:lineRule="auto"/>
      <w:ind w:left="567" w:hanging="567"/>
    </w:pPr>
  </w:style>
  <w:style w:type="paragraph" w:customStyle="1" w:styleId="BodyText22">
    <w:name w:val="Body Text 2_2"/>
    <w:basedOn w:val="Normln"/>
    <w:pPr>
      <w:spacing w:line="240" w:lineRule="auto"/>
      <w:ind w:left="567" w:hanging="567"/>
    </w:pPr>
    <w:rPr>
      <w:b/>
    </w:rPr>
  </w:style>
  <w:style w:type="character" w:styleId="Hypertextovodkaz">
    <w:name w:val="Hyperlink"/>
    <w:rPr>
      <w:color w:val="0000FF"/>
      <w:u w:val="single"/>
    </w:rPr>
  </w:style>
  <w:style w:type="paragraph" w:customStyle="1" w:styleId="AHeader1">
    <w:name w:val="AHeader 1"/>
    <w:basedOn w:val="Normln"/>
    <w:pPr>
      <w:numPr>
        <w:numId w:val="25"/>
      </w:numPr>
      <w:tabs>
        <w:tab w:val="clear" w:pos="567"/>
      </w:tabs>
      <w:spacing w:after="120" w:line="240" w:lineRule="auto"/>
    </w:pPr>
    <w:rPr>
      <w:rFonts w:ascii="Arial" w:hAnsi="Arial" w:cs="Arial"/>
      <w:b/>
      <w:bCs/>
      <w:sz w:val="24"/>
    </w:rPr>
  </w:style>
  <w:style w:type="paragraph" w:customStyle="1" w:styleId="AHeader2">
    <w:name w:val="AHeader 2"/>
    <w:basedOn w:val="AHeader1"/>
    <w:pPr>
      <w:numPr>
        <w:ilvl w:val="1"/>
      </w:numPr>
      <w:tabs>
        <w:tab w:val="clear" w:pos="709"/>
        <w:tab w:val="num" w:pos="360"/>
        <w:tab w:val="num" w:pos="1440"/>
      </w:tabs>
      <w:ind w:left="1440" w:hanging="360"/>
    </w:pPr>
    <w:rPr>
      <w:sz w:val="22"/>
    </w:rPr>
  </w:style>
  <w:style w:type="paragraph" w:customStyle="1" w:styleId="AHeader3">
    <w:name w:val="AHeader 3"/>
    <w:basedOn w:val="AHeader2"/>
    <w:pPr>
      <w:numPr>
        <w:ilvl w:val="2"/>
      </w:numPr>
      <w:tabs>
        <w:tab w:val="clear" w:pos="1276"/>
        <w:tab w:val="num" w:pos="360"/>
        <w:tab w:val="num" w:pos="2160"/>
      </w:tabs>
      <w:ind w:left="2160" w:hanging="180"/>
    </w:pPr>
  </w:style>
  <w:style w:type="paragraph" w:customStyle="1" w:styleId="AHeader2abc">
    <w:name w:val="AHeader 2 abc"/>
    <w:basedOn w:val="AHeader3"/>
    <w:pPr>
      <w:numPr>
        <w:ilvl w:val="3"/>
      </w:numPr>
      <w:tabs>
        <w:tab w:val="clear" w:pos="1276"/>
        <w:tab w:val="num" w:pos="360"/>
        <w:tab w:val="num" w:pos="2880"/>
      </w:tabs>
      <w:ind w:left="2880" w:hanging="360"/>
      <w:jc w:val="both"/>
    </w:pPr>
    <w:rPr>
      <w:b w:val="0"/>
      <w:bCs w:val="0"/>
    </w:rPr>
  </w:style>
  <w:style w:type="paragraph" w:customStyle="1" w:styleId="AHeader3abc">
    <w:name w:val="AHeader 3 abc"/>
    <w:basedOn w:val="AHeader2abc"/>
    <w:pPr>
      <w:numPr>
        <w:ilvl w:val="4"/>
      </w:numPr>
      <w:tabs>
        <w:tab w:val="clear" w:pos="1701"/>
        <w:tab w:val="num" w:pos="360"/>
        <w:tab w:val="num" w:pos="1440"/>
        <w:tab w:val="num" w:pos="3600"/>
      </w:tabs>
      <w:ind w:left="3600" w:hanging="360"/>
    </w:pPr>
  </w:style>
  <w:style w:type="character" w:styleId="Sledovanodkaz">
    <w:name w:val="FollowedHyperlink"/>
    <w:rPr>
      <w:color w:val="800080"/>
      <w:u w:val="single"/>
    </w:rPr>
  </w:style>
  <w:style w:type="paragraph" w:styleId="Zkladntextodsazen">
    <w:name w:val="Body Text Indent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semiHidden/>
    <w:rPr>
      <w:b/>
      <w:bCs/>
    </w:rPr>
  </w:style>
  <w:style w:type="table" w:styleId="Mkatabulky">
    <w:name w:val="Table Grid"/>
    <w:basedOn w:val="Normlntabulka"/>
    <w:rsid w:val="000D67D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vize">
    <w:name w:val="Revision"/>
    <w:hidden/>
    <w:uiPriority w:val="99"/>
    <w:semiHidden/>
    <w:rsid w:val="0019686E"/>
    <w:rPr>
      <w:sz w:val="22"/>
      <w:lang w:eastAsia="en-US"/>
    </w:rPr>
  </w:style>
  <w:style w:type="paragraph" w:customStyle="1" w:styleId="Default">
    <w:name w:val="Default"/>
    <w:rsid w:val="00145D34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it-IT"/>
    </w:rPr>
  </w:style>
  <w:style w:type="paragraph" w:customStyle="1" w:styleId="BodytextAgency">
    <w:name w:val="Body text (Agency)"/>
    <w:basedOn w:val="Normln"/>
    <w:link w:val="BodytextAgencyChar"/>
    <w:qFormat/>
    <w:rsid w:val="00FF4664"/>
    <w:pPr>
      <w:tabs>
        <w:tab w:val="clear" w:pos="567"/>
      </w:tabs>
      <w:spacing w:after="140" w:line="280" w:lineRule="atLeast"/>
    </w:pPr>
    <w:rPr>
      <w:rFonts w:ascii="Verdana" w:eastAsia="Verdana" w:hAnsi="Verdana" w:cs="Verdana"/>
      <w:sz w:val="18"/>
      <w:szCs w:val="18"/>
      <w:lang w:eastAsia="en-GB"/>
    </w:rPr>
  </w:style>
  <w:style w:type="numbering" w:customStyle="1" w:styleId="BulletsAgency">
    <w:name w:val="Bullets (Agency)"/>
    <w:basedOn w:val="Bezseznamu"/>
    <w:rsid w:val="00FF4664"/>
    <w:pPr>
      <w:numPr>
        <w:numId w:val="36"/>
      </w:numPr>
    </w:pPr>
  </w:style>
  <w:style w:type="paragraph" w:customStyle="1" w:styleId="DraftingNotesAgency">
    <w:name w:val="Drafting Notes (Agency)"/>
    <w:basedOn w:val="Normln"/>
    <w:next w:val="BodytextAgency"/>
    <w:link w:val="DraftingNotesAgencyChar"/>
    <w:rsid w:val="00FF4664"/>
    <w:pPr>
      <w:tabs>
        <w:tab w:val="clear" w:pos="567"/>
      </w:tabs>
      <w:spacing w:after="140" w:line="280" w:lineRule="atLeast"/>
    </w:pPr>
    <w:rPr>
      <w:rFonts w:ascii="Courier New" w:eastAsia="Verdana" w:hAnsi="Courier New"/>
      <w:i/>
      <w:color w:val="339966"/>
      <w:szCs w:val="18"/>
      <w:lang w:eastAsia="en-GB"/>
    </w:rPr>
  </w:style>
  <w:style w:type="paragraph" w:customStyle="1" w:styleId="No-numheading3Agency">
    <w:name w:val="No-num heading 3 (Agency)"/>
    <w:basedOn w:val="Normln"/>
    <w:next w:val="BodytextAgency"/>
    <w:link w:val="No-numheading3AgencyChar"/>
    <w:rsid w:val="00FF4664"/>
    <w:pPr>
      <w:keepNext/>
      <w:tabs>
        <w:tab w:val="clear" w:pos="567"/>
      </w:tabs>
      <w:spacing w:before="280" w:after="220" w:line="240" w:lineRule="auto"/>
      <w:outlineLvl w:val="2"/>
    </w:pPr>
    <w:rPr>
      <w:rFonts w:ascii="Verdana" w:eastAsia="Verdana" w:hAnsi="Verdana" w:cs="Arial"/>
      <w:b/>
      <w:bCs/>
      <w:kern w:val="32"/>
      <w:szCs w:val="22"/>
      <w:lang w:eastAsia="en-GB"/>
    </w:rPr>
  </w:style>
  <w:style w:type="paragraph" w:customStyle="1" w:styleId="NormalAgency">
    <w:name w:val="Normal (Agency)"/>
    <w:link w:val="NormalAgencyChar"/>
    <w:qFormat/>
    <w:rsid w:val="00FF4664"/>
    <w:rPr>
      <w:rFonts w:ascii="Verdana" w:eastAsia="Verdana" w:hAnsi="Verdana" w:cs="Verdana"/>
      <w:sz w:val="18"/>
      <w:szCs w:val="18"/>
    </w:rPr>
  </w:style>
  <w:style w:type="table" w:customStyle="1" w:styleId="TablegridAgencyblack">
    <w:name w:val="Table grid (Agency) black"/>
    <w:basedOn w:val="Normlntabulka"/>
    <w:semiHidden/>
    <w:rsid w:val="00FF4664"/>
    <w:rPr>
      <w:rFonts w:ascii="Verdana" w:eastAsia="SimSun" w:hAnsi="Verdana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</w:tblPr>
    <w:tcPr>
      <w:shd w:val="clear" w:color="auto" w:fill="auto"/>
    </w:tcPr>
    <w:tblStylePr w:type="firstRow">
      <w:rPr>
        <w:rFonts w:ascii="Times New Roman" w:hAnsi="Times New Roman"/>
        <w:b/>
        <w:i w:val="0"/>
        <w:color w:val="auto"/>
        <w:sz w:val="18"/>
        <w:szCs w:val="18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uto"/>
      </w:tcPr>
    </w:tblStylePr>
  </w:style>
  <w:style w:type="paragraph" w:customStyle="1" w:styleId="TableheadingrowsAgency">
    <w:name w:val="Table heading rows (Agency)"/>
    <w:basedOn w:val="BodytextAgency"/>
    <w:semiHidden/>
    <w:rsid w:val="00FF4664"/>
    <w:pPr>
      <w:keepNext/>
    </w:pPr>
    <w:rPr>
      <w:rFonts w:eastAsia="Times New Roman"/>
      <w:b/>
    </w:rPr>
  </w:style>
  <w:style w:type="paragraph" w:customStyle="1" w:styleId="TabletextrowsAgency">
    <w:name w:val="Table text rows (Agency)"/>
    <w:basedOn w:val="Normln"/>
    <w:rsid w:val="00FF4664"/>
    <w:pPr>
      <w:tabs>
        <w:tab w:val="clear" w:pos="567"/>
      </w:tabs>
      <w:spacing w:line="280" w:lineRule="exact"/>
    </w:pPr>
    <w:rPr>
      <w:rFonts w:ascii="Verdana" w:hAnsi="Verdana" w:cs="Verdana"/>
      <w:sz w:val="18"/>
      <w:szCs w:val="18"/>
      <w:lang w:eastAsia="zh-CN"/>
    </w:rPr>
  </w:style>
  <w:style w:type="character" w:customStyle="1" w:styleId="BodytextAgencyChar">
    <w:name w:val="Body text (Agency) Char"/>
    <w:link w:val="BodytextAgency"/>
    <w:qFormat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NormalAgencyChar">
    <w:name w:val="Normal (Agency) Char"/>
    <w:link w:val="NormalAgency"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DraftingNotesAgencyChar">
    <w:name w:val="Drafting Notes (Agency) Char"/>
    <w:link w:val="DraftingNotesAgency"/>
    <w:rsid w:val="00FF4664"/>
    <w:rPr>
      <w:rFonts w:ascii="Courier New" w:eastAsia="Verdana" w:hAnsi="Courier New"/>
      <w:i/>
      <w:color w:val="339966"/>
      <w:sz w:val="22"/>
      <w:szCs w:val="18"/>
      <w:lang w:val="cs-CZ" w:eastAsia="en-GB" w:bidi="ar-SA"/>
    </w:rPr>
  </w:style>
  <w:style w:type="character" w:customStyle="1" w:styleId="No-numheading3AgencyChar">
    <w:name w:val="No-num heading 3 (Agency) Char"/>
    <w:link w:val="No-numheading3Agency"/>
    <w:rsid w:val="00FF4664"/>
    <w:rPr>
      <w:rFonts w:ascii="Verdana" w:eastAsia="Verdana" w:hAnsi="Verdana" w:cs="Arial"/>
      <w:b/>
      <w:bCs/>
      <w:kern w:val="32"/>
      <w:sz w:val="22"/>
      <w:szCs w:val="22"/>
      <w:lang w:val="cs-CZ" w:eastAsia="en-GB" w:bidi="ar-SA"/>
    </w:rPr>
  </w:style>
  <w:style w:type="paragraph" w:customStyle="1" w:styleId="Normalold">
    <w:name w:val="Normal (old)"/>
    <w:basedOn w:val="Normln"/>
    <w:rsid w:val="00FF4664"/>
    <w:pPr>
      <w:tabs>
        <w:tab w:val="clear" w:pos="567"/>
      </w:tabs>
      <w:spacing w:line="240" w:lineRule="auto"/>
      <w:ind w:left="720" w:hanging="720"/>
    </w:pPr>
    <w:rPr>
      <w:rFonts w:eastAsia="SimSun"/>
      <w:szCs w:val="18"/>
      <w:lang w:eastAsia="zh-CN"/>
    </w:rPr>
  </w:style>
  <w:style w:type="character" w:customStyle="1" w:styleId="TextkomenteChar">
    <w:name w:val="Text komentáře Char"/>
    <w:aliases w:val="Kommentarer Char"/>
    <w:link w:val="Textkomente"/>
    <w:uiPriority w:val="99"/>
    <w:qFormat/>
    <w:locked/>
    <w:rsid w:val="003909E0"/>
    <w:rPr>
      <w:lang w:val="cs-CZ" w:eastAsia="en-US" w:bidi="ar-SA"/>
    </w:rPr>
  </w:style>
  <w:style w:type="character" w:customStyle="1" w:styleId="TextvysvtlivekChar">
    <w:name w:val="Text vysvětlivek Char"/>
    <w:link w:val="Textvysvtlivek"/>
    <w:semiHidden/>
    <w:rsid w:val="00673F4C"/>
    <w:rPr>
      <w:sz w:val="22"/>
      <w:lang w:eastAsia="en-US"/>
    </w:rPr>
  </w:style>
  <w:style w:type="paragraph" w:customStyle="1" w:styleId="Style1">
    <w:name w:val="Style1"/>
    <w:basedOn w:val="Normln"/>
    <w:qFormat/>
    <w:rsid w:val="00B13B6D"/>
    <w:pP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2">
    <w:name w:val="Style2"/>
    <w:basedOn w:val="Normln"/>
    <w:qFormat/>
    <w:rsid w:val="00D16FE0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4" w:color="auto"/>
      </w:pBd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3">
    <w:name w:val="Style3"/>
    <w:basedOn w:val="Normln"/>
    <w:qFormat/>
    <w:rsid w:val="00407C22"/>
    <w:pPr>
      <w:numPr>
        <w:numId w:val="40"/>
      </w:numPr>
      <w:tabs>
        <w:tab w:val="clear" w:pos="567"/>
      </w:tabs>
      <w:spacing w:line="240" w:lineRule="auto"/>
      <w:jc w:val="center"/>
    </w:pPr>
    <w:rPr>
      <w:b/>
      <w:szCs w:val="22"/>
    </w:rPr>
  </w:style>
  <w:style w:type="paragraph" w:customStyle="1" w:styleId="Style4">
    <w:name w:val="Style4"/>
    <w:basedOn w:val="Normln"/>
    <w:qFormat/>
    <w:rsid w:val="0018657D"/>
    <w:rPr>
      <w:szCs w:val="22"/>
    </w:rPr>
  </w:style>
  <w:style w:type="paragraph" w:customStyle="1" w:styleId="Style5">
    <w:name w:val="Style5"/>
    <w:basedOn w:val="Normln"/>
    <w:qFormat/>
    <w:rsid w:val="001D4CE4"/>
    <w:pPr>
      <w:numPr>
        <w:ilvl w:val="12"/>
      </w:numPr>
      <w:tabs>
        <w:tab w:val="clear" w:pos="567"/>
      </w:tabs>
      <w:spacing w:line="240" w:lineRule="auto"/>
    </w:pPr>
    <w:rPr>
      <w:szCs w:val="22"/>
    </w:rPr>
  </w:style>
  <w:style w:type="paragraph" w:styleId="Odstavecseseznamem">
    <w:name w:val="List Paragraph"/>
    <w:basedOn w:val="Normln"/>
    <w:uiPriority w:val="34"/>
    <w:qFormat/>
    <w:rsid w:val="00BD0909"/>
    <w:pPr>
      <w:tabs>
        <w:tab w:val="clear" w:pos="567"/>
      </w:tabs>
      <w:spacing w:line="240" w:lineRule="auto"/>
      <w:ind w:left="720"/>
    </w:pPr>
    <w:rPr>
      <w:sz w:val="24"/>
      <w:szCs w:val="24"/>
      <w:lang w:eastAsia="cs-CZ" w:bidi="cs-CZ"/>
    </w:rPr>
  </w:style>
  <w:style w:type="character" w:styleId="Nevyeenzmnka">
    <w:name w:val="Unresolved Mention"/>
    <w:basedOn w:val="Standardnpsmoodstavce"/>
    <w:uiPriority w:val="99"/>
    <w:semiHidden/>
    <w:unhideWhenUsed/>
    <w:rsid w:val="009B52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dicines.health.europa.eu/veterinary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uskvbl.cz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A039D6-0736-4A44-9CF5-00AB9F8260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7</Pages>
  <Words>1650</Words>
  <Characters>9737</Characters>
  <Application>Microsoft Office Word</Application>
  <DocSecurity>0</DocSecurity>
  <Lines>81</Lines>
  <Paragraphs>22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Hala Hamad</dc:creator>
  <cp:lastModifiedBy>Neugebauerová Kateřina</cp:lastModifiedBy>
  <cp:revision>20</cp:revision>
  <cp:lastPrinted>2026-08-27T09:01:00Z</cp:lastPrinted>
  <dcterms:created xsi:type="dcterms:W3CDTF">2026-06-22T07:57:00Z</dcterms:created>
  <dcterms:modified xsi:type="dcterms:W3CDTF">2026-08-27T09:01:00Z</dcterms:modified>
</cp:coreProperties>
</file>