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962410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962410">
        <w:rPr>
          <w:b/>
          <w:szCs w:val="22"/>
        </w:rPr>
        <w:t>PŘÍLOHA I</w:t>
      </w:r>
    </w:p>
    <w:p w14:paraId="50FE88E4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962410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962410">
        <w:rPr>
          <w:b/>
          <w:szCs w:val="22"/>
        </w:rPr>
        <w:t>SOUHRN ÚDAJŮ O PŘÍPRAVKU</w:t>
      </w:r>
    </w:p>
    <w:p w14:paraId="70A64732" w14:textId="77777777" w:rsidR="00C114FF" w:rsidRPr="00962410" w:rsidRDefault="00C605FD" w:rsidP="00B13B6D">
      <w:pPr>
        <w:pStyle w:val="Style1"/>
      </w:pPr>
      <w:r w:rsidRPr="00962410">
        <w:br w:type="page"/>
      </w:r>
      <w:r w:rsidRPr="00962410">
        <w:lastRenderedPageBreak/>
        <w:t>1.</w:t>
      </w:r>
      <w:r w:rsidRPr="00962410">
        <w:tab/>
        <w:t>NÁZEV VETERINÁRNÍHO LÉČIVÉHO PŘÍPRAVKU</w:t>
      </w:r>
    </w:p>
    <w:p w14:paraId="3606368F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1A91BCE6" w:rsidR="00C114FF" w:rsidRPr="00962410" w:rsidRDefault="00B0786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205980084"/>
      <w:r w:rsidRPr="00962410">
        <w:rPr>
          <w:szCs w:val="22"/>
        </w:rPr>
        <w:t>Thiafeline 2,5 mg potahované tablety pro kočky</w:t>
      </w:r>
    </w:p>
    <w:bookmarkEnd w:id="0"/>
    <w:p w14:paraId="139AE272" w14:textId="77777777" w:rsidR="00D3387C" w:rsidRPr="00962410" w:rsidRDefault="00D3387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F1B277" w14:textId="77777777" w:rsidR="00B0786F" w:rsidRPr="00962410" w:rsidRDefault="00B078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962410" w:rsidRDefault="00C605FD" w:rsidP="00B13B6D">
      <w:pPr>
        <w:pStyle w:val="Style1"/>
      </w:pPr>
      <w:r w:rsidRPr="00962410">
        <w:t>2.</w:t>
      </w:r>
      <w:r w:rsidRPr="00962410">
        <w:tab/>
        <w:t>KVALITATIVNÍ A KVANTITATIVNÍ SLOŽENÍ</w:t>
      </w:r>
    </w:p>
    <w:p w14:paraId="3EAF4F83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AC9B844" w14:textId="06AC6DDB" w:rsidR="00B0786F" w:rsidRPr="00962410" w:rsidRDefault="00FC1037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</w:t>
      </w:r>
      <w:r w:rsidR="00241336" w:rsidRPr="00962410">
        <w:rPr>
          <w:szCs w:val="22"/>
        </w:rPr>
        <w:t xml:space="preserve"> </w:t>
      </w:r>
      <w:r w:rsidR="00B0786F" w:rsidRPr="00962410">
        <w:rPr>
          <w:szCs w:val="22"/>
        </w:rPr>
        <w:t>tableta obsahuje:</w:t>
      </w:r>
    </w:p>
    <w:p w14:paraId="65F36A6A" w14:textId="77777777" w:rsidR="00B0786F" w:rsidRPr="00962410" w:rsidRDefault="00B078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2C994D5C" w:rsidR="00C114FF" w:rsidRPr="00962410" w:rsidRDefault="00C605FD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962410">
        <w:rPr>
          <w:b/>
          <w:szCs w:val="22"/>
        </w:rPr>
        <w:t>Léčivá látka:</w:t>
      </w:r>
    </w:p>
    <w:p w14:paraId="5DBC8849" w14:textId="2B843734" w:rsidR="00C114FF" w:rsidRPr="00962410" w:rsidRDefault="00B0786F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962410">
        <w:rPr>
          <w:iCs/>
          <w:szCs w:val="22"/>
        </w:rPr>
        <w:t>Thiamazolum</w:t>
      </w:r>
      <w:r w:rsidRPr="00962410">
        <w:rPr>
          <w:iCs/>
          <w:szCs w:val="22"/>
        </w:rPr>
        <w:tab/>
        <w:t>2,5 mg</w:t>
      </w:r>
    </w:p>
    <w:p w14:paraId="4114CC73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6EFA701E" w:rsidR="00C114FF" w:rsidRPr="00962410" w:rsidRDefault="00C605FD" w:rsidP="00A9226B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b/>
          <w:szCs w:val="22"/>
        </w:rPr>
        <w:t>Pomocné látky:</w:t>
      </w:r>
    </w:p>
    <w:p w14:paraId="73A85254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9D6AA7" w:rsidRPr="00962410" w14:paraId="402487B1" w14:textId="77777777" w:rsidTr="00B0786F">
        <w:tc>
          <w:tcPr>
            <w:tcW w:w="4527" w:type="dxa"/>
            <w:shd w:val="clear" w:color="auto" w:fill="auto"/>
            <w:vAlign w:val="center"/>
          </w:tcPr>
          <w:p w14:paraId="665C36FC" w14:textId="27353821" w:rsidR="009D6AA7" w:rsidRPr="00962410" w:rsidRDefault="009D6AA7" w:rsidP="007E686B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962410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AB65695" w14:textId="6AFE2633" w:rsidR="009D6AA7" w:rsidRPr="00962410" w:rsidRDefault="009D6AA7" w:rsidP="007E686B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962410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B0786F" w:rsidRPr="00962410" w14:paraId="5B376C5B" w14:textId="77777777" w:rsidTr="00B0786F">
        <w:tc>
          <w:tcPr>
            <w:tcW w:w="4527" w:type="dxa"/>
            <w:shd w:val="clear" w:color="auto" w:fill="auto"/>
          </w:tcPr>
          <w:p w14:paraId="54766AFD" w14:textId="4C2A5DD5" w:rsidR="00B0786F" w:rsidRPr="00962410" w:rsidRDefault="00B0786F" w:rsidP="00B0786F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962410">
              <w:rPr>
                <w:b/>
                <w:bCs/>
              </w:rPr>
              <w:t>Jádro tablety: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F35602" w14:textId="77777777" w:rsidR="00B0786F" w:rsidRPr="00962410" w:rsidRDefault="00B0786F" w:rsidP="00B0786F">
            <w:pPr>
              <w:spacing w:before="60" w:after="60"/>
              <w:rPr>
                <w:iCs/>
                <w:szCs w:val="22"/>
              </w:rPr>
            </w:pPr>
          </w:p>
        </w:tc>
      </w:tr>
      <w:tr w:rsidR="00B0786F" w:rsidRPr="00962410" w14:paraId="6B570F98" w14:textId="77777777" w:rsidTr="00B0786F">
        <w:tc>
          <w:tcPr>
            <w:tcW w:w="4527" w:type="dxa"/>
            <w:shd w:val="clear" w:color="auto" w:fill="auto"/>
          </w:tcPr>
          <w:p w14:paraId="7844D2E5" w14:textId="105EA1A1" w:rsidR="00B0786F" w:rsidRPr="00962410" w:rsidRDefault="00B0786F" w:rsidP="00B0786F">
            <w:pPr>
              <w:spacing w:before="60" w:after="60"/>
              <w:rPr>
                <w:iCs/>
                <w:szCs w:val="22"/>
              </w:rPr>
            </w:pPr>
            <w:r w:rsidRPr="00962410">
              <w:t>Monohydrát laktosy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35B945B" w14:textId="77777777" w:rsidR="00B0786F" w:rsidRPr="00962410" w:rsidRDefault="00B0786F" w:rsidP="00B0786F">
            <w:pPr>
              <w:spacing w:before="60" w:after="60"/>
              <w:rPr>
                <w:iCs/>
                <w:szCs w:val="22"/>
              </w:rPr>
            </w:pPr>
          </w:p>
        </w:tc>
      </w:tr>
      <w:tr w:rsidR="00B0786F" w:rsidRPr="00962410" w14:paraId="65010AAC" w14:textId="77777777" w:rsidTr="00B0786F">
        <w:tc>
          <w:tcPr>
            <w:tcW w:w="4527" w:type="dxa"/>
            <w:shd w:val="clear" w:color="auto" w:fill="auto"/>
          </w:tcPr>
          <w:p w14:paraId="05FE1E54" w14:textId="196B4A86" w:rsidR="00B0786F" w:rsidRPr="00962410" w:rsidRDefault="00B0786F" w:rsidP="00B0786F">
            <w:pPr>
              <w:spacing w:before="60" w:after="60"/>
              <w:rPr>
                <w:iCs/>
                <w:szCs w:val="22"/>
              </w:rPr>
            </w:pPr>
            <w:r w:rsidRPr="00962410">
              <w:t>Povidon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0DE2368" w14:textId="77777777" w:rsidR="00B0786F" w:rsidRPr="00962410" w:rsidRDefault="00B0786F" w:rsidP="00B0786F">
            <w:pPr>
              <w:spacing w:before="60" w:after="60"/>
              <w:rPr>
                <w:iCs/>
                <w:szCs w:val="22"/>
              </w:rPr>
            </w:pPr>
          </w:p>
        </w:tc>
      </w:tr>
      <w:tr w:rsidR="00B0786F" w:rsidRPr="00962410" w14:paraId="31F3255D" w14:textId="77777777" w:rsidTr="00B0786F">
        <w:tc>
          <w:tcPr>
            <w:tcW w:w="4527" w:type="dxa"/>
            <w:shd w:val="clear" w:color="auto" w:fill="auto"/>
          </w:tcPr>
          <w:p w14:paraId="740343AC" w14:textId="4416B086" w:rsidR="00B0786F" w:rsidRPr="00962410" w:rsidRDefault="00B0786F" w:rsidP="00B0786F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962410">
              <w:t>Sodná sůl karboxymethylškrobu (typ A)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3C4804F6" w14:textId="77777777" w:rsidR="00B0786F" w:rsidRPr="00962410" w:rsidRDefault="00B0786F" w:rsidP="00B0786F">
            <w:pPr>
              <w:spacing w:before="60" w:after="60"/>
              <w:rPr>
                <w:iCs/>
                <w:szCs w:val="22"/>
              </w:rPr>
            </w:pPr>
          </w:p>
        </w:tc>
      </w:tr>
      <w:tr w:rsidR="00B0786F" w:rsidRPr="00962410" w14:paraId="611D0BD1" w14:textId="77777777" w:rsidTr="00B0786F">
        <w:tc>
          <w:tcPr>
            <w:tcW w:w="4527" w:type="dxa"/>
            <w:shd w:val="clear" w:color="auto" w:fill="auto"/>
          </w:tcPr>
          <w:p w14:paraId="57ED2C03" w14:textId="357EE736" w:rsidR="00B0786F" w:rsidRPr="00962410" w:rsidRDefault="00B0786F" w:rsidP="00B0786F">
            <w:pPr>
              <w:spacing w:before="60" w:after="60"/>
              <w:rPr>
                <w:iCs/>
                <w:szCs w:val="22"/>
              </w:rPr>
            </w:pPr>
            <w:r w:rsidRPr="00962410">
              <w:t>Koloidní bezvodý oxid křemičitý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0BE5704" w14:textId="77777777" w:rsidR="00B0786F" w:rsidRPr="00962410" w:rsidRDefault="00B0786F" w:rsidP="00B0786F">
            <w:pPr>
              <w:spacing w:before="60" w:after="60"/>
              <w:rPr>
                <w:iCs/>
                <w:szCs w:val="22"/>
              </w:rPr>
            </w:pPr>
          </w:p>
        </w:tc>
      </w:tr>
      <w:tr w:rsidR="00B0786F" w:rsidRPr="00962410" w14:paraId="265B6BAA" w14:textId="77777777" w:rsidTr="00B0786F">
        <w:tc>
          <w:tcPr>
            <w:tcW w:w="4527" w:type="dxa"/>
            <w:shd w:val="clear" w:color="auto" w:fill="auto"/>
          </w:tcPr>
          <w:p w14:paraId="7895CC7D" w14:textId="6078D6FC" w:rsidR="00B0786F" w:rsidRPr="00962410" w:rsidRDefault="00B0786F" w:rsidP="00B0786F">
            <w:pPr>
              <w:spacing w:before="60" w:after="60"/>
              <w:rPr>
                <w:iCs/>
                <w:szCs w:val="22"/>
              </w:rPr>
            </w:pPr>
            <w:r w:rsidRPr="00962410">
              <w:t>Magnesium-stearát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5D2E301" w14:textId="77777777" w:rsidR="00B0786F" w:rsidRPr="00962410" w:rsidRDefault="00B0786F" w:rsidP="00B0786F">
            <w:pPr>
              <w:spacing w:before="60" w:after="60"/>
              <w:rPr>
                <w:iCs/>
                <w:szCs w:val="22"/>
              </w:rPr>
            </w:pPr>
          </w:p>
        </w:tc>
      </w:tr>
      <w:tr w:rsidR="00B0786F" w:rsidRPr="00962410" w14:paraId="3767408E" w14:textId="77777777" w:rsidTr="00B0786F">
        <w:tc>
          <w:tcPr>
            <w:tcW w:w="4527" w:type="dxa"/>
            <w:shd w:val="clear" w:color="auto" w:fill="auto"/>
          </w:tcPr>
          <w:p w14:paraId="3F0AF064" w14:textId="16DC6F9F" w:rsidR="00B0786F" w:rsidRPr="00962410" w:rsidRDefault="00B0786F" w:rsidP="00B0786F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962410">
              <w:rPr>
                <w:b/>
                <w:bCs/>
              </w:rPr>
              <w:t>Obal tablety: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1B4FD54" w14:textId="77777777" w:rsidR="00B0786F" w:rsidRPr="00962410" w:rsidRDefault="00B0786F" w:rsidP="00B0786F">
            <w:pPr>
              <w:spacing w:before="60" w:after="60"/>
              <w:rPr>
                <w:iCs/>
                <w:szCs w:val="22"/>
              </w:rPr>
            </w:pPr>
          </w:p>
        </w:tc>
      </w:tr>
      <w:tr w:rsidR="00B0786F" w:rsidRPr="00962410" w14:paraId="484CE017" w14:textId="77777777" w:rsidTr="00B0786F">
        <w:tc>
          <w:tcPr>
            <w:tcW w:w="4527" w:type="dxa"/>
            <w:shd w:val="clear" w:color="auto" w:fill="auto"/>
          </w:tcPr>
          <w:p w14:paraId="4F565F43" w14:textId="21B2D3B9" w:rsidR="00B0786F" w:rsidRPr="00962410" w:rsidRDefault="00B0786F" w:rsidP="00B0786F">
            <w:pPr>
              <w:spacing w:before="60" w:after="60"/>
              <w:rPr>
                <w:iCs/>
                <w:szCs w:val="22"/>
              </w:rPr>
            </w:pPr>
            <w:r w:rsidRPr="00962410">
              <w:t>Hypromelosa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3F9167EE" w14:textId="77777777" w:rsidR="00B0786F" w:rsidRPr="00962410" w:rsidRDefault="00B0786F" w:rsidP="00B0786F">
            <w:pPr>
              <w:spacing w:before="60" w:after="60"/>
              <w:rPr>
                <w:iCs/>
                <w:szCs w:val="22"/>
              </w:rPr>
            </w:pPr>
          </w:p>
        </w:tc>
      </w:tr>
      <w:tr w:rsidR="00B0786F" w:rsidRPr="00962410" w14:paraId="169108C9" w14:textId="77777777" w:rsidTr="00B0786F">
        <w:tc>
          <w:tcPr>
            <w:tcW w:w="4527" w:type="dxa"/>
            <w:shd w:val="clear" w:color="auto" w:fill="auto"/>
          </w:tcPr>
          <w:p w14:paraId="159576F2" w14:textId="64711315" w:rsidR="00B0786F" w:rsidRPr="00962410" w:rsidRDefault="00B0786F" w:rsidP="00B0786F">
            <w:pPr>
              <w:spacing w:before="60" w:after="60"/>
              <w:rPr>
                <w:iCs/>
                <w:szCs w:val="22"/>
              </w:rPr>
            </w:pPr>
            <w:r w:rsidRPr="00962410">
              <w:t>Mikrokrystalická celulosa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2200DFA9" w14:textId="77777777" w:rsidR="00B0786F" w:rsidRPr="00962410" w:rsidRDefault="00B0786F" w:rsidP="00B0786F">
            <w:pPr>
              <w:spacing w:before="60" w:after="60"/>
              <w:rPr>
                <w:iCs/>
                <w:szCs w:val="22"/>
              </w:rPr>
            </w:pPr>
          </w:p>
        </w:tc>
      </w:tr>
      <w:tr w:rsidR="00B0786F" w:rsidRPr="00962410" w14:paraId="36CC4742" w14:textId="77777777" w:rsidTr="00B0786F">
        <w:tc>
          <w:tcPr>
            <w:tcW w:w="4527" w:type="dxa"/>
            <w:shd w:val="clear" w:color="auto" w:fill="auto"/>
          </w:tcPr>
          <w:p w14:paraId="3DB31A0E" w14:textId="60F5F347" w:rsidR="00B0786F" w:rsidRPr="00962410" w:rsidRDefault="00B0786F" w:rsidP="00B0786F">
            <w:pPr>
              <w:spacing w:before="60" w:after="60"/>
              <w:rPr>
                <w:iCs/>
                <w:szCs w:val="22"/>
              </w:rPr>
            </w:pPr>
            <w:r w:rsidRPr="00962410">
              <w:t>Monohydrát laktosy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1AFB53D8" w14:textId="77777777" w:rsidR="00B0786F" w:rsidRPr="00962410" w:rsidRDefault="00B0786F" w:rsidP="00B0786F">
            <w:pPr>
              <w:spacing w:before="60" w:after="60"/>
              <w:rPr>
                <w:iCs/>
                <w:szCs w:val="22"/>
              </w:rPr>
            </w:pPr>
          </w:p>
        </w:tc>
      </w:tr>
      <w:tr w:rsidR="00B0786F" w:rsidRPr="00962410" w14:paraId="3D06502D" w14:textId="77777777" w:rsidTr="00B0786F">
        <w:tc>
          <w:tcPr>
            <w:tcW w:w="4527" w:type="dxa"/>
            <w:shd w:val="clear" w:color="auto" w:fill="auto"/>
          </w:tcPr>
          <w:p w14:paraId="320D3F0E" w14:textId="5682E526" w:rsidR="00B0786F" w:rsidRPr="00962410" w:rsidRDefault="00B0786F" w:rsidP="00B0786F">
            <w:pPr>
              <w:spacing w:before="60" w:after="60"/>
              <w:rPr>
                <w:iCs/>
                <w:szCs w:val="22"/>
              </w:rPr>
            </w:pPr>
            <w:r w:rsidRPr="00962410">
              <w:t>Makrogol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4138D9BF" w14:textId="77777777" w:rsidR="00B0786F" w:rsidRPr="00962410" w:rsidRDefault="00B0786F" w:rsidP="00B0786F">
            <w:pPr>
              <w:spacing w:before="60" w:after="60"/>
              <w:rPr>
                <w:iCs/>
                <w:szCs w:val="22"/>
              </w:rPr>
            </w:pPr>
          </w:p>
        </w:tc>
      </w:tr>
      <w:tr w:rsidR="00241336" w:rsidRPr="00962410" w14:paraId="3D73C458" w14:textId="77777777" w:rsidTr="00B0786F">
        <w:tc>
          <w:tcPr>
            <w:tcW w:w="4527" w:type="dxa"/>
            <w:shd w:val="clear" w:color="auto" w:fill="auto"/>
          </w:tcPr>
          <w:p w14:paraId="7BF83800" w14:textId="769DD465" w:rsidR="00241336" w:rsidRPr="00962410" w:rsidRDefault="00241336" w:rsidP="00241336">
            <w:pPr>
              <w:spacing w:before="60" w:after="60"/>
              <w:rPr>
                <w:iCs/>
                <w:szCs w:val="22"/>
              </w:rPr>
            </w:pPr>
            <w:r w:rsidRPr="00962410">
              <w:t>Oxid titaničitý (E 171)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7C8961A4" w14:textId="0A6CBCB5" w:rsidR="00241336" w:rsidRPr="00962410" w:rsidRDefault="00241336" w:rsidP="00241336">
            <w:pPr>
              <w:spacing w:before="60" w:after="60"/>
              <w:rPr>
                <w:iCs/>
                <w:szCs w:val="22"/>
              </w:rPr>
            </w:pPr>
            <w:r w:rsidRPr="00962410">
              <w:rPr>
                <w:iCs/>
                <w:szCs w:val="22"/>
              </w:rPr>
              <w:t>0,45 mg</w:t>
            </w:r>
          </w:p>
        </w:tc>
      </w:tr>
      <w:tr w:rsidR="00241336" w:rsidRPr="00962410" w14:paraId="13289310" w14:textId="77777777" w:rsidTr="00B0786F">
        <w:tc>
          <w:tcPr>
            <w:tcW w:w="4527" w:type="dxa"/>
            <w:shd w:val="clear" w:color="auto" w:fill="auto"/>
          </w:tcPr>
          <w:p w14:paraId="442EF7BD" w14:textId="1FEA0E9F" w:rsidR="00241336" w:rsidRPr="00962410" w:rsidRDefault="00241336" w:rsidP="00241336">
            <w:pPr>
              <w:spacing w:before="60" w:after="60"/>
              <w:rPr>
                <w:iCs/>
                <w:szCs w:val="22"/>
              </w:rPr>
            </w:pPr>
            <w:r w:rsidRPr="00962410">
              <w:t>Azorubin (E 122)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8E2E2ED" w14:textId="577E0E10" w:rsidR="00241336" w:rsidRPr="00962410" w:rsidRDefault="00241336" w:rsidP="00241336">
            <w:pPr>
              <w:spacing w:before="60" w:after="60"/>
              <w:rPr>
                <w:iCs/>
                <w:szCs w:val="22"/>
              </w:rPr>
            </w:pPr>
            <w:r w:rsidRPr="00962410">
              <w:rPr>
                <w:iCs/>
                <w:szCs w:val="22"/>
              </w:rPr>
              <w:t>0,009 mg</w:t>
            </w:r>
          </w:p>
        </w:tc>
      </w:tr>
    </w:tbl>
    <w:p w14:paraId="2E6CA329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91EE44" w14:textId="0600AFA0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 xml:space="preserve">Růžové </w:t>
      </w:r>
      <w:r w:rsidR="00241336" w:rsidRPr="00962410">
        <w:rPr>
          <w:szCs w:val="22"/>
        </w:rPr>
        <w:t xml:space="preserve">potahované </w:t>
      </w:r>
      <w:r w:rsidRPr="00962410">
        <w:rPr>
          <w:szCs w:val="22"/>
        </w:rPr>
        <w:t>bikonvexní tablety o průměru 5,5 mm.</w:t>
      </w:r>
    </w:p>
    <w:p w14:paraId="4FF5A9CA" w14:textId="37EDEAD6" w:rsidR="00B0786F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3D56DFCB" w14:textId="77777777" w:rsidR="00D3387C" w:rsidRPr="00962410" w:rsidRDefault="00D3387C" w:rsidP="00B0786F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962410" w:rsidRDefault="00C605FD" w:rsidP="00B13B6D">
      <w:pPr>
        <w:pStyle w:val="Style1"/>
      </w:pPr>
      <w:r w:rsidRPr="00962410">
        <w:t>3.</w:t>
      </w:r>
      <w:r w:rsidRPr="00962410">
        <w:tab/>
        <w:t>KLINICKÉ INFORMACE</w:t>
      </w:r>
    </w:p>
    <w:p w14:paraId="03304F78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962410" w:rsidRDefault="00C605FD" w:rsidP="00B13B6D">
      <w:pPr>
        <w:pStyle w:val="Style1"/>
      </w:pPr>
      <w:r w:rsidRPr="00962410">
        <w:t>3.1</w:t>
      </w:r>
      <w:r w:rsidRPr="00962410">
        <w:tab/>
        <w:t>Cílové druhy zvířat</w:t>
      </w:r>
    </w:p>
    <w:p w14:paraId="20FFAC3D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74B3F7" w14:textId="5B94433C" w:rsidR="00B0786F" w:rsidRPr="00962410" w:rsidRDefault="00B0786F" w:rsidP="00A9226B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Kočky.</w:t>
      </w:r>
    </w:p>
    <w:p w14:paraId="0B5F2390" w14:textId="77777777" w:rsidR="00B0786F" w:rsidRPr="00962410" w:rsidRDefault="00B078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962410" w:rsidRDefault="00C605FD" w:rsidP="00B13B6D">
      <w:pPr>
        <w:pStyle w:val="Style1"/>
      </w:pPr>
      <w:r w:rsidRPr="00962410">
        <w:t>3.2</w:t>
      </w:r>
      <w:r w:rsidRPr="00962410">
        <w:tab/>
        <w:t xml:space="preserve">Indikace pro použití pro každý cílový druh </w:t>
      </w:r>
      <w:r w:rsidR="0043586F" w:rsidRPr="00962410">
        <w:t>zvířat</w:t>
      </w:r>
    </w:p>
    <w:p w14:paraId="327E3A6F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27D284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Stabilizace hypertyreózy u koček před chirurgickým odstraněním štítné žlázy.</w:t>
      </w:r>
    </w:p>
    <w:p w14:paraId="45A9E78C" w14:textId="50C402B8" w:rsidR="00E86CEE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Dlouhodobá léčba hypertyreózy u koček.</w:t>
      </w:r>
    </w:p>
    <w:p w14:paraId="1A14ED05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962410" w:rsidRDefault="00C605FD" w:rsidP="00B13B6D">
      <w:pPr>
        <w:pStyle w:val="Style1"/>
      </w:pPr>
      <w:r w:rsidRPr="00962410">
        <w:t>3.3</w:t>
      </w:r>
      <w:r w:rsidRPr="00962410">
        <w:tab/>
        <w:t>Kontraindikace</w:t>
      </w:r>
    </w:p>
    <w:p w14:paraId="758D96B3" w14:textId="77777777" w:rsidR="00C114FF" w:rsidRPr="0096241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28F171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Nepoužívat u koček se systémovým onemocněním, jako je primární onemocnění jater nebo diabetes mellitus.</w:t>
      </w:r>
    </w:p>
    <w:p w14:paraId="3BC33705" w14:textId="635E4851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lastRenderedPageBreak/>
        <w:t>Nepoužívat u koček s příznaky autoimunitní</w:t>
      </w:r>
      <w:r w:rsidR="00E5173F">
        <w:rPr>
          <w:szCs w:val="22"/>
        </w:rPr>
        <w:t>ho</w:t>
      </w:r>
      <w:r w:rsidRPr="00962410">
        <w:rPr>
          <w:szCs w:val="22"/>
        </w:rPr>
        <w:t xml:space="preserve"> onemocnění.</w:t>
      </w:r>
    </w:p>
    <w:p w14:paraId="4B2292C8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Nepoužívat u zvířat s poruchami bílých krvinek, jako je neutropenie a lymfopenie.</w:t>
      </w:r>
    </w:p>
    <w:p w14:paraId="0865E5F1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Nepoužívat u zvířat s poruchami krevních destiček a poruchami srážení krve (zejména s trombocytopenií).</w:t>
      </w:r>
    </w:p>
    <w:p w14:paraId="4832F583" w14:textId="03C19288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 xml:space="preserve">Nepoužívat u březích nebo </w:t>
      </w:r>
      <w:proofErr w:type="spellStart"/>
      <w:r w:rsidRPr="00962410">
        <w:rPr>
          <w:szCs w:val="22"/>
        </w:rPr>
        <w:t>laktujících</w:t>
      </w:r>
      <w:proofErr w:type="spellEnd"/>
      <w:r w:rsidRPr="00962410">
        <w:rPr>
          <w:szCs w:val="22"/>
        </w:rPr>
        <w:t xml:space="preserve"> </w:t>
      </w:r>
      <w:r w:rsidR="00CC0D27">
        <w:rPr>
          <w:szCs w:val="22"/>
        </w:rPr>
        <w:t>samic</w:t>
      </w:r>
      <w:r w:rsidRPr="00962410">
        <w:rPr>
          <w:szCs w:val="22"/>
        </w:rPr>
        <w:t xml:space="preserve">. Viz bod </w:t>
      </w:r>
      <w:r w:rsidR="00241336" w:rsidRPr="00962410">
        <w:rPr>
          <w:szCs w:val="22"/>
        </w:rPr>
        <w:t>3</w:t>
      </w:r>
      <w:r w:rsidRPr="00962410">
        <w:rPr>
          <w:szCs w:val="22"/>
        </w:rPr>
        <w:t>.7.</w:t>
      </w:r>
    </w:p>
    <w:p w14:paraId="54C2FA76" w14:textId="273BA96F" w:rsidR="00C114F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Nepoužívat v případech přecitlivělost</w:t>
      </w:r>
      <w:r w:rsidR="00EB024F">
        <w:rPr>
          <w:szCs w:val="22"/>
        </w:rPr>
        <w:t>i</w:t>
      </w:r>
      <w:r w:rsidRPr="00962410">
        <w:rPr>
          <w:szCs w:val="22"/>
        </w:rPr>
        <w:t xml:space="preserve"> na </w:t>
      </w:r>
      <w:r w:rsidR="00241336" w:rsidRPr="00962410">
        <w:rPr>
          <w:szCs w:val="22"/>
        </w:rPr>
        <w:t xml:space="preserve">léčivou látku </w:t>
      </w:r>
      <w:r w:rsidRPr="00962410">
        <w:rPr>
          <w:szCs w:val="22"/>
        </w:rPr>
        <w:t>nebo na některou z pomocných látek.</w:t>
      </w:r>
    </w:p>
    <w:p w14:paraId="71BE6BDF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962410" w:rsidRDefault="00C605FD" w:rsidP="00B13B6D">
      <w:pPr>
        <w:pStyle w:val="Style1"/>
      </w:pPr>
      <w:r w:rsidRPr="00962410">
        <w:t>3.4</w:t>
      </w:r>
      <w:r w:rsidRPr="00962410">
        <w:tab/>
        <w:t>Zvláštní upozornění</w:t>
      </w:r>
    </w:p>
    <w:p w14:paraId="0622A062" w14:textId="77777777" w:rsidR="00C114FF" w:rsidRPr="0096241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798E15" w14:textId="7E652233" w:rsidR="00E86CEE" w:rsidRPr="00962410" w:rsidRDefault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Nejsou.</w:t>
      </w:r>
    </w:p>
    <w:p w14:paraId="456CE5A2" w14:textId="77777777" w:rsidR="00B0786F" w:rsidRPr="00962410" w:rsidRDefault="00B0786F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962410" w:rsidRDefault="00C605FD" w:rsidP="00B13B6D">
      <w:pPr>
        <w:pStyle w:val="Style1"/>
      </w:pPr>
      <w:r w:rsidRPr="00962410">
        <w:t>3.5</w:t>
      </w:r>
      <w:r w:rsidRPr="00962410">
        <w:tab/>
        <w:t>Zvláštní opatření pro použití</w:t>
      </w:r>
    </w:p>
    <w:p w14:paraId="0B94D7B2" w14:textId="77777777" w:rsidR="00C114FF" w:rsidRPr="0096241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962410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62410">
        <w:rPr>
          <w:szCs w:val="22"/>
          <w:u w:val="single"/>
        </w:rPr>
        <w:t>Zvláštní opatření pro bezpečné použití u cílových druhů zvířat:</w:t>
      </w:r>
    </w:p>
    <w:p w14:paraId="327581A2" w14:textId="36DFC6F0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 xml:space="preserve">Thiamazol může způsobit </w:t>
      </w:r>
      <w:proofErr w:type="spellStart"/>
      <w:r w:rsidRPr="00962410">
        <w:rPr>
          <w:szCs w:val="22"/>
        </w:rPr>
        <w:t>hemokoncentraci</w:t>
      </w:r>
      <w:proofErr w:type="spellEnd"/>
      <w:r w:rsidRPr="00962410">
        <w:rPr>
          <w:szCs w:val="22"/>
        </w:rPr>
        <w:t xml:space="preserve">, proto musí mít </w:t>
      </w:r>
      <w:r w:rsidR="00EB024F">
        <w:rPr>
          <w:szCs w:val="22"/>
        </w:rPr>
        <w:t xml:space="preserve">kočky </w:t>
      </w:r>
      <w:r w:rsidRPr="00962410">
        <w:rPr>
          <w:szCs w:val="22"/>
        </w:rPr>
        <w:t>vždy přístup k pitné vodě</w:t>
      </w:r>
      <w:r w:rsidR="00E5173F">
        <w:rPr>
          <w:szCs w:val="22"/>
        </w:rPr>
        <w:t>.</w:t>
      </w:r>
    </w:p>
    <w:p w14:paraId="7ADD12A1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Pokud je nutné podávat dávku vyšší než 10 mg denně, je třeba obzvlášť pečlivě sledovat zdravotní stav zvířat.</w:t>
      </w:r>
    </w:p>
    <w:p w14:paraId="0E20B662" w14:textId="41DFC732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 xml:space="preserve">U koček s poruchou činnosti ledvin </w:t>
      </w:r>
      <w:r w:rsidR="00E5173F">
        <w:rPr>
          <w:szCs w:val="22"/>
        </w:rPr>
        <w:t xml:space="preserve">lze </w:t>
      </w:r>
      <w:r w:rsidR="00241336" w:rsidRPr="00962410">
        <w:rPr>
          <w:szCs w:val="22"/>
        </w:rPr>
        <w:t xml:space="preserve">veterinární léčivý </w:t>
      </w:r>
      <w:r w:rsidRPr="00962410">
        <w:rPr>
          <w:szCs w:val="22"/>
        </w:rPr>
        <w:t>přípravek použít pouze po zvážení terapeutického prospěchu a rizika příslušným veterinárním lékařem. Vzhledem k účinku, který může mít thiamazol na snížení rychlosti glomerulární filtrace, je nutné pozorně sledovat účinek léčby na činnost ledvin, protože může dojít ke zhoršení souběžně probíhajícího onemocnění ledvin.</w:t>
      </w:r>
    </w:p>
    <w:p w14:paraId="180185E0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Vzhledem k riziku leukopenie nebo hemolytické anémie je nutno sledovat hematologické parametry.</w:t>
      </w:r>
    </w:p>
    <w:p w14:paraId="355A38B0" w14:textId="0D79A5AA" w:rsidR="00C114F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Všem zvířatům, u nichž se v průběhu léčby náhle projeví zhoršení zdravotního stavu, zejména v případě výskytu horečky, je třeba odebrat vzorek krve na rutinní hematologické a biochemické vyšetření. Neutropenická zvířata (počet neutrofilů &lt;2,5 x 10</w:t>
      </w:r>
      <w:r w:rsidRPr="00962410">
        <w:rPr>
          <w:szCs w:val="22"/>
          <w:vertAlign w:val="superscript"/>
        </w:rPr>
        <w:t>9</w:t>
      </w:r>
      <w:r w:rsidRPr="00962410">
        <w:rPr>
          <w:szCs w:val="22"/>
        </w:rPr>
        <w:t xml:space="preserve"> /l) je třeba léčit profylakticky baktericidními antibiotickými léčivými látkami a podat podpůrnou léčbu.</w:t>
      </w:r>
    </w:p>
    <w:p w14:paraId="117F609A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962410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62410">
        <w:rPr>
          <w:szCs w:val="22"/>
          <w:u w:val="single"/>
        </w:rPr>
        <w:t>Zvláštní opatření pro osobu, která podává veterinární léčivý přípravek zvířatům:</w:t>
      </w:r>
    </w:p>
    <w:p w14:paraId="64D6787D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 xml:space="preserve">Lidé se známou přecitlivělostí na thiamazol by se měli vyhnout kontaktu s veterinárním léčivým přípravkem. </w:t>
      </w:r>
    </w:p>
    <w:p w14:paraId="12D93C2A" w14:textId="5BBDCA73" w:rsidR="00B0786F" w:rsidRPr="00962410" w:rsidRDefault="00CB0616" w:rsidP="00B0786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Nenakládejte</w:t>
      </w:r>
      <w:r w:rsidRPr="00962410">
        <w:rPr>
          <w:szCs w:val="22"/>
        </w:rPr>
        <w:t xml:space="preserve"> </w:t>
      </w:r>
      <w:r w:rsidR="00B0786F" w:rsidRPr="00962410">
        <w:rPr>
          <w:szCs w:val="22"/>
        </w:rPr>
        <w:t>s</w:t>
      </w:r>
      <w:r w:rsidR="00241336" w:rsidRPr="00962410">
        <w:rPr>
          <w:szCs w:val="22"/>
        </w:rPr>
        <w:t xml:space="preserve"> veterinárním léčivým </w:t>
      </w:r>
      <w:r w:rsidR="00B0786F" w:rsidRPr="00962410">
        <w:rPr>
          <w:szCs w:val="22"/>
        </w:rPr>
        <w:t>přípravkem, pokud jste alergičtí na thyreostatika. Tablety nelámejte ani nedrťte. Pokud se rozvinou postexpoziční příznaky jako kožní vyrážka, otok obličeje, rtů, očí nebo potíže s dýcháním, vyhledejte ihned lékařskou pomoc a ukažte příbalovou informaci nebo etiketu praktickému lékaři.</w:t>
      </w:r>
    </w:p>
    <w:p w14:paraId="32E5C830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Thiamazol může způsobit zvracení, bolesti v oblasti nadbřišku, bolest hlavy, horečku, bolest kloubů, svědění a pancytopenii. Léčba je symptomatická.</w:t>
      </w:r>
    </w:p>
    <w:p w14:paraId="343DA45E" w14:textId="387A7F70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V případě náhodného požití</w:t>
      </w:r>
      <w:r w:rsidR="00136AE8">
        <w:rPr>
          <w:szCs w:val="22"/>
        </w:rPr>
        <w:t>,</w:t>
      </w:r>
      <w:r w:rsidRPr="00962410">
        <w:rPr>
          <w:szCs w:val="22"/>
        </w:rPr>
        <w:t xml:space="preserve"> vyhledejte ihned lékařskou pomoc a ukažte příbalovou informaci nebo etiketu praktickému lékaři. </w:t>
      </w:r>
    </w:p>
    <w:p w14:paraId="3BD77634" w14:textId="1B0C94D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 xml:space="preserve">Při </w:t>
      </w:r>
      <w:r w:rsidR="00A63DBB">
        <w:rPr>
          <w:szCs w:val="22"/>
        </w:rPr>
        <w:t>nakládání</w:t>
      </w:r>
      <w:r w:rsidR="00A63DBB" w:rsidRPr="00962410">
        <w:rPr>
          <w:szCs w:val="22"/>
        </w:rPr>
        <w:t xml:space="preserve"> </w:t>
      </w:r>
      <w:r w:rsidRPr="00962410">
        <w:rPr>
          <w:szCs w:val="22"/>
        </w:rPr>
        <w:t>s tabletou nebo použitou podestýlkou nejezte, nepijte ani nekuřte.</w:t>
      </w:r>
    </w:p>
    <w:p w14:paraId="53DE6A61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 xml:space="preserve">Po použití si umyjte ruce. </w:t>
      </w:r>
    </w:p>
    <w:p w14:paraId="16A3DBA4" w14:textId="1B156F4A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 xml:space="preserve">Po </w:t>
      </w:r>
      <w:r w:rsidR="00A63DBB">
        <w:rPr>
          <w:szCs w:val="22"/>
        </w:rPr>
        <w:t>nakládání</w:t>
      </w:r>
      <w:r w:rsidR="00A63DBB" w:rsidRPr="00962410">
        <w:rPr>
          <w:szCs w:val="22"/>
        </w:rPr>
        <w:t xml:space="preserve"> </w:t>
      </w:r>
      <w:r w:rsidRPr="00962410">
        <w:rPr>
          <w:szCs w:val="22"/>
        </w:rPr>
        <w:t>s použitou podestýlkou léčených zvířat si umyjte ruce vodou a mýdlem.</w:t>
      </w:r>
    </w:p>
    <w:p w14:paraId="272DD23C" w14:textId="656AA299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Jelikož existuje podezření, že thiamazol je humánním teratogenem, měly by ženy v plodném věku a</w:t>
      </w:r>
      <w:r w:rsidR="00A63DBB">
        <w:rPr>
          <w:szCs w:val="22"/>
        </w:rPr>
        <w:t> </w:t>
      </w:r>
      <w:r w:rsidRPr="00962410">
        <w:rPr>
          <w:szCs w:val="22"/>
        </w:rPr>
        <w:t xml:space="preserve">těhotné ženy při </w:t>
      </w:r>
      <w:r w:rsidR="00597BB8">
        <w:rPr>
          <w:szCs w:val="22"/>
        </w:rPr>
        <w:t>nakládání</w:t>
      </w:r>
      <w:r w:rsidR="00597BB8" w:rsidRPr="00962410">
        <w:rPr>
          <w:szCs w:val="22"/>
        </w:rPr>
        <w:t xml:space="preserve"> </w:t>
      </w:r>
      <w:r w:rsidRPr="00962410">
        <w:rPr>
          <w:szCs w:val="22"/>
        </w:rPr>
        <w:t>s podestýlkou léčených koček používat rukavice.</w:t>
      </w:r>
    </w:p>
    <w:p w14:paraId="2DE787A4" w14:textId="46ECA7CA" w:rsidR="00C114F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Těhotné ženy by měly při manipulaci s</w:t>
      </w:r>
      <w:r w:rsidR="00241336" w:rsidRPr="00962410">
        <w:rPr>
          <w:szCs w:val="22"/>
        </w:rPr>
        <w:t xml:space="preserve"> veterinárním léčivým </w:t>
      </w:r>
      <w:r w:rsidRPr="00962410">
        <w:rPr>
          <w:szCs w:val="22"/>
        </w:rPr>
        <w:t>přípravkem používat rukavice.</w:t>
      </w:r>
    </w:p>
    <w:p w14:paraId="7D364D19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962410" w:rsidRDefault="00C605FD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62410">
        <w:rPr>
          <w:szCs w:val="22"/>
          <w:u w:val="single"/>
        </w:rPr>
        <w:t>Zvláštní opatření pro ochranu životního prostředí:</w:t>
      </w:r>
    </w:p>
    <w:p w14:paraId="47390C4D" w14:textId="0E0C303B" w:rsidR="00295140" w:rsidRPr="00962410" w:rsidRDefault="00C33D04" w:rsidP="00A9226B">
      <w:pPr>
        <w:tabs>
          <w:tab w:val="clear" w:pos="567"/>
        </w:tabs>
        <w:spacing w:line="240" w:lineRule="auto"/>
        <w:rPr>
          <w:szCs w:val="22"/>
        </w:rPr>
      </w:pPr>
      <w:r w:rsidRPr="00962410">
        <w:t>Neuplatňuje se.</w:t>
      </w:r>
    </w:p>
    <w:p w14:paraId="0CE51CD2" w14:textId="77777777" w:rsidR="00295140" w:rsidRPr="00962410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962410" w:rsidRDefault="00C605FD" w:rsidP="00B13B6D">
      <w:pPr>
        <w:pStyle w:val="Style1"/>
      </w:pPr>
      <w:r w:rsidRPr="00962410">
        <w:t>3.6</w:t>
      </w:r>
      <w:r w:rsidRPr="00962410">
        <w:tab/>
        <w:t>Nežádoucí účinky</w:t>
      </w:r>
    </w:p>
    <w:p w14:paraId="150AFBFC" w14:textId="77777777" w:rsidR="00D3387C" w:rsidRPr="00962410" w:rsidRDefault="00D3387C" w:rsidP="00AD0710">
      <w:pPr>
        <w:tabs>
          <w:tab w:val="clear" w:pos="567"/>
        </w:tabs>
        <w:spacing w:line="240" w:lineRule="auto"/>
        <w:rPr>
          <w:szCs w:val="22"/>
        </w:rPr>
      </w:pPr>
    </w:p>
    <w:p w14:paraId="552B5FFE" w14:textId="77777777" w:rsidR="00C33D04" w:rsidRPr="00962410" w:rsidRDefault="00C33D04" w:rsidP="00C33D04">
      <w:pPr>
        <w:spacing w:line="240" w:lineRule="auto"/>
        <w:rPr>
          <w:bCs/>
        </w:rPr>
      </w:pPr>
      <w:r w:rsidRPr="00962410">
        <w:rPr>
          <w:bCs/>
          <w:szCs w:val="22"/>
        </w:rPr>
        <w:t>Kočky:</w:t>
      </w:r>
    </w:p>
    <w:p w14:paraId="7C0E73DA" w14:textId="77777777" w:rsidR="00C33D04" w:rsidRPr="00962410" w:rsidRDefault="00C33D04" w:rsidP="00C33D04">
      <w:pPr>
        <w:spacing w:line="240" w:lineRule="auto"/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C33D04" w:rsidRPr="00962410" w14:paraId="7224DE31" w14:textId="77777777" w:rsidTr="008669D3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7791" w14:textId="77777777" w:rsidR="00C33D04" w:rsidRPr="00962410" w:rsidRDefault="00C33D04" w:rsidP="008669D3">
            <w:pPr>
              <w:spacing w:before="60" w:after="60"/>
              <w:rPr>
                <w:szCs w:val="22"/>
              </w:rPr>
            </w:pPr>
            <w:r w:rsidRPr="00962410">
              <w:rPr>
                <w:szCs w:val="22"/>
              </w:rPr>
              <w:t>Méně časté</w:t>
            </w:r>
          </w:p>
          <w:p w14:paraId="221ADBCE" w14:textId="77777777" w:rsidR="00C33D04" w:rsidRPr="00962410" w:rsidRDefault="00C33D04" w:rsidP="008669D3">
            <w:pPr>
              <w:spacing w:before="60" w:after="60"/>
              <w:rPr>
                <w:szCs w:val="22"/>
              </w:rPr>
            </w:pPr>
            <w:r w:rsidRPr="00962410">
              <w:rPr>
                <w:szCs w:val="22"/>
              </w:rPr>
              <w:t>(1 až 10 zvířat / 1,000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F376A" w14:textId="77777777" w:rsidR="00C33D04" w:rsidRPr="00962410" w:rsidRDefault="00C33D04" w:rsidP="008669D3">
            <w:pPr>
              <w:spacing w:before="60" w:after="60"/>
              <w:rPr>
                <w:iCs/>
                <w:szCs w:val="22"/>
              </w:rPr>
            </w:pPr>
            <w:r w:rsidRPr="00962410">
              <w:rPr>
                <w:iCs/>
                <w:szCs w:val="22"/>
              </w:rPr>
              <w:t>Zvracení</w:t>
            </w:r>
            <w:r w:rsidRPr="00962410">
              <w:rPr>
                <w:iCs/>
                <w:szCs w:val="22"/>
                <w:vertAlign w:val="superscript"/>
              </w:rPr>
              <w:t>a</w:t>
            </w:r>
            <w:r w:rsidRPr="00962410">
              <w:rPr>
                <w:iCs/>
                <w:szCs w:val="22"/>
              </w:rPr>
              <w:t>;</w:t>
            </w:r>
          </w:p>
          <w:p w14:paraId="74ADC595" w14:textId="77777777" w:rsidR="00C33D04" w:rsidRPr="00962410" w:rsidRDefault="00C33D04" w:rsidP="008669D3">
            <w:pPr>
              <w:spacing w:before="60" w:after="60"/>
              <w:rPr>
                <w:iCs/>
                <w:szCs w:val="22"/>
              </w:rPr>
            </w:pPr>
            <w:r w:rsidRPr="00962410">
              <w:rPr>
                <w:iCs/>
                <w:szCs w:val="22"/>
              </w:rPr>
              <w:t>anorexie</w:t>
            </w:r>
            <w:r w:rsidRPr="00962410">
              <w:rPr>
                <w:iCs/>
                <w:szCs w:val="22"/>
                <w:vertAlign w:val="superscript"/>
              </w:rPr>
              <w:t>a</w:t>
            </w:r>
            <w:r w:rsidRPr="00962410">
              <w:rPr>
                <w:iCs/>
                <w:szCs w:val="22"/>
              </w:rPr>
              <w:t>, nechutenství</w:t>
            </w:r>
            <w:r w:rsidRPr="00962410">
              <w:rPr>
                <w:iCs/>
                <w:szCs w:val="22"/>
                <w:vertAlign w:val="superscript"/>
              </w:rPr>
              <w:t>a</w:t>
            </w:r>
            <w:r w:rsidRPr="00962410">
              <w:rPr>
                <w:iCs/>
                <w:szCs w:val="22"/>
              </w:rPr>
              <w:t>, otupělost</w:t>
            </w:r>
            <w:r w:rsidRPr="00962410">
              <w:rPr>
                <w:iCs/>
                <w:szCs w:val="22"/>
                <w:vertAlign w:val="superscript"/>
              </w:rPr>
              <w:t>a</w:t>
            </w:r>
            <w:r w:rsidRPr="00962410">
              <w:rPr>
                <w:iCs/>
                <w:szCs w:val="22"/>
              </w:rPr>
              <w:t>;</w:t>
            </w:r>
          </w:p>
          <w:p w14:paraId="4981CA82" w14:textId="77777777" w:rsidR="00C33D04" w:rsidRPr="00962410" w:rsidRDefault="00C33D04" w:rsidP="008669D3">
            <w:pPr>
              <w:spacing w:before="60" w:after="60"/>
              <w:rPr>
                <w:iCs/>
                <w:szCs w:val="22"/>
              </w:rPr>
            </w:pPr>
            <w:proofErr w:type="gramStart"/>
            <w:r w:rsidRPr="00962410">
              <w:rPr>
                <w:iCs/>
                <w:szCs w:val="22"/>
              </w:rPr>
              <w:t>pruritus</w:t>
            </w:r>
            <w:r w:rsidRPr="00962410">
              <w:rPr>
                <w:iCs/>
                <w:szCs w:val="22"/>
                <w:vertAlign w:val="superscript"/>
              </w:rPr>
              <w:t>a,b</w:t>
            </w:r>
            <w:proofErr w:type="gramEnd"/>
            <w:r w:rsidRPr="00962410">
              <w:rPr>
                <w:iCs/>
                <w:szCs w:val="22"/>
              </w:rPr>
              <w:t>, odlupování kůže</w:t>
            </w:r>
            <w:r w:rsidRPr="00962410">
              <w:rPr>
                <w:iCs/>
                <w:szCs w:val="22"/>
                <w:vertAlign w:val="superscript"/>
              </w:rPr>
              <w:t>a,b</w:t>
            </w:r>
            <w:r w:rsidRPr="00962410">
              <w:rPr>
                <w:iCs/>
                <w:szCs w:val="22"/>
              </w:rPr>
              <w:t>;</w:t>
            </w:r>
          </w:p>
          <w:p w14:paraId="1342ADED" w14:textId="77777777" w:rsidR="00C33D04" w:rsidRPr="00962410" w:rsidRDefault="00C33D04" w:rsidP="008669D3">
            <w:pPr>
              <w:spacing w:before="60" w:after="60"/>
              <w:rPr>
                <w:iCs/>
                <w:szCs w:val="22"/>
              </w:rPr>
            </w:pPr>
            <w:r w:rsidRPr="00962410">
              <w:rPr>
                <w:iCs/>
                <w:szCs w:val="22"/>
              </w:rPr>
              <w:lastRenderedPageBreak/>
              <w:t>déle trvající krvácení</w:t>
            </w:r>
            <w:r w:rsidRPr="00962410">
              <w:rPr>
                <w:iCs/>
                <w:szCs w:val="22"/>
                <w:vertAlign w:val="superscript"/>
              </w:rPr>
              <w:t>a,c,d</w:t>
            </w:r>
            <w:r w:rsidRPr="00962410">
              <w:rPr>
                <w:iCs/>
                <w:szCs w:val="22"/>
              </w:rPr>
              <w:t>;</w:t>
            </w:r>
          </w:p>
          <w:p w14:paraId="001728A1" w14:textId="77777777" w:rsidR="00C33D04" w:rsidRPr="00962410" w:rsidRDefault="00C33D04" w:rsidP="008669D3">
            <w:pPr>
              <w:spacing w:before="60" w:after="60"/>
              <w:rPr>
                <w:iCs/>
                <w:szCs w:val="22"/>
              </w:rPr>
            </w:pPr>
            <w:r w:rsidRPr="00962410">
              <w:rPr>
                <w:iCs/>
                <w:szCs w:val="22"/>
              </w:rPr>
              <w:t>hepatopatie</w:t>
            </w:r>
            <w:r w:rsidRPr="00962410">
              <w:rPr>
                <w:iCs/>
                <w:szCs w:val="22"/>
                <w:vertAlign w:val="superscript"/>
              </w:rPr>
              <w:t>a</w:t>
            </w:r>
            <w:r w:rsidRPr="00962410">
              <w:rPr>
                <w:iCs/>
                <w:szCs w:val="22"/>
              </w:rPr>
              <w:t>, žloutenka</w:t>
            </w:r>
            <w:r w:rsidRPr="00962410">
              <w:rPr>
                <w:iCs/>
                <w:szCs w:val="22"/>
                <w:vertAlign w:val="superscript"/>
              </w:rPr>
              <w:t>a,d</w:t>
            </w:r>
            <w:r w:rsidRPr="00962410">
              <w:rPr>
                <w:iCs/>
                <w:szCs w:val="22"/>
              </w:rPr>
              <w:t>;</w:t>
            </w:r>
          </w:p>
          <w:p w14:paraId="137E5F90" w14:textId="77777777" w:rsidR="00C33D04" w:rsidRPr="00962410" w:rsidRDefault="00C33D04" w:rsidP="008669D3">
            <w:pPr>
              <w:spacing w:before="60" w:after="60"/>
              <w:rPr>
                <w:iCs/>
                <w:szCs w:val="22"/>
              </w:rPr>
            </w:pPr>
            <w:r w:rsidRPr="00962410">
              <w:rPr>
                <w:iCs/>
                <w:szCs w:val="22"/>
              </w:rPr>
              <w:t>eozinofilie</w:t>
            </w:r>
            <w:r w:rsidRPr="00962410">
              <w:rPr>
                <w:iCs/>
                <w:szCs w:val="22"/>
                <w:vertAlign w:val="superscript"/>
              </w:rPr>
              <w:t>a</w:t>
            </w:r>
            <w:r w:rsidRPr="00962410">
              <w:rPr>
                <w:iCs/>
                <w:szCs w:val="22"/>
              </w:rPr>
              <w:t>, lymfocytóza</w:t>
            </w:r>
            <w:r w:rsidRPr="00962410">
              <w:rPr>
                <w:iCs/>
                <w:szCs w:val="22"/>
                <w:vertAlign w:val="superscript"/>
              </w:rPr>
              <w:t>a</w:t>
            </w:r>
            <w:r w:rsidRPr="00962410">
              <w:rPr>
                <w:iCs/>
                <w:szCs w:val="22"/>
              </w:rPr>
              <w:t>, neutropenie</w:t>
            </w:r>
            <w:r w:rsidRPr="00962410">
              <w:rPr>
                <w:iCs/>
                <w:szCs w:val="22"/>
                <w:vertAlign w:val="superscript"/>
              </w:rPr>
              <w:t>a</w:t>
            </w:r>
            <w:r w:rsidRPr="00962410">
              <w:rPr>
                <w:iCs/>
                <w:szCs w:val="22"/>
              </w:rPr>
              <w:t>, lymfopenie</w:t>
            </w:r>
            <w:r w:rsidRPr="00962410">
              <w:rPr>
                <w:iCs/>
                <w:szCs w:val="22"/>
                <w:vertAlign w:val="superscript"/>
              </w:rPr>
              <w:t>a</w:t>
            </w:r>
            <w:r w:rsidRPr="00962410">
              <w:rPr>
                <w:iCs/>
                <w:szCs w:val="22"/>
              </w:rPr>
              <w:t>, leukopenie</w:t>
            </w:r>
            <w:r w:rsidRPr="00962410">
              <w:rPr>
                <w:iCs/>
                <w:szCs w:val="22"/>
                <w:vertAlign w:val="superscript"/>
              </w:rPr>
              <w:t>a,e</w:t>
            </w:r>
            <w:r w:rsidRPr="00962410">
              <w:rPr>
                <w:iCs/>
                <w:szCs w:val="22"/>
              </w:rPr>
              <w:t>, agranulocytóza</w:t>
            </w:r>
            <w:r w:rsidRPr="00962410">
              <w:rPr>
                <w:iCs/>
                <w:szCs w:val="22"/>
                <w:vertAlign w:val="superscript"/>
              </w:rPr>
              <w:t>a</w:t>
            </w:r>
            <w:r w:rsidRPr="00962410">
              <w:rPr>
                <w:iCs/>
                <w:szCs w:val="22"/>
              </w:rPr>
              <w:t>, trombocytopenie</w:t>
            </w:r>
            <w:r w:rsidRPr="00962410">
              <w:rPr>
                <w:iCs/>
                <w:szCs w:val="22"/>
                <w:vertAlign w:val="superscript"/>
              </w:rPr>
              <w:t>a,g,h</w:t>
            </w:r>
            <w:r w:rsidRPr="00962410">
              <w:rPr>
                <w:iCs/>
                <w:szCs w:val="22"/>
              </w:rPr>
              <w:t>, hemolytická anémie</w:t>
            </w:r>
            <w:r w:rsidRPr="00962410">
              <w:rPr>
                <w:iCs/>
                <w:szCs w:val="22"/>
                <w:vertAlign w:val="superscript"/>
              </w:rPr>
              <w:t>a</w:t>
            </w:r>
            <w:r w:rsidRPr="00962410">
              <w:rPr>
                <w:iCs/>
                <w:szCs w:val="22"/>
              </w:rPr>
              <w:t>.</w:t>
            </w:r>
          </w:p>
        </w:tc>
      </w:tr>
      <w:tr w:rsidR="00C33D04" w:rsidRPr="00962410" w14:paraId="5E7186A9" w14:textId="77777777" w:rsidTr="008669D3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0538" w14:textId="77777777" w:rsidR="00C33D04" w:rsidRPr="00962410" w:rsidRDefault="00C33D04" w:rsidP="008669D3">
            <w:pPr>
              <w:spacing w:before="60" w:after="60"/>
              <w:rPr>
                <w:szCs w:val="22"/>
              </w:rPr>
            </w:pPr>
            <w:r w:rsidRPr="00962410">
              <w:rPr>
                <w:szCs w:val="22"/>
              </w:rPr>
              <w:lastRenderedPageBreak/>
              <w:t>Vzácné</w:t>
            </w:r>
          </w:p>
          <w:p w14:paraId="706DE991" w14:textId="77777777" w:rsidR="00C33D04" w:rsidRPr="00962410" w:rsidRDefault="00C33D04" w:rsidP="008669D3">
            <w:pPr>
              <w:spacing w:before="60" w:after="60"/>
              <w:rPr>
                <w:szCs w:val="22"/>
              </w:rPr>
            </w:pPr>
            <w:r w:rsidRPr="00962410">
              <w:rPr>
                <w:szCs w:val="22"/>
              </w:rPr>
              <w:t>(1 až 10 zvířat / 10 000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50AB" w14:textId="77777777" w:rsidR="00C33D04" w:rsidRPr="00962410" w:rsidRDefault="00C33D04" w:rsidP="008669D3">
            <w:pPr>
              <w:spacing w:before="60" w:after="60"/>
              <w:rPr>
                <w:iCs/>
                <w:szCs w:val="22"/>
              </w:rPr>
            </w:pPr>
            <w:r w:rsidRPr="00962410">
              <w:rPr>
                <w:iCs/>
                <w:szCs w:val="22"/>
              </w:rPr>
              <w:t>Antinukleární protilátky v séru</w:t>
            </w:r>
            <w:r w:rsidRPr="00962410">
              <w:rPr>
                <w:iCs/>
                <w:szCs w:val="22"/>
                <w:vertAlign w:val="superscript"/>
              </w:rPr>
              <w:t>f,h</w:t>
            </w:r>
            <w:r w:rsidRPr="00962410">
              <w:rPr>
                <w:iCs/>
                <w:szCs w:val="22"/>
              </w:rPr>
              <w:t>, anémie</w:t>
            </w:r>
            <w:r w:rsidRPr="00962410">
              <w:rPr>
                <w:iCs/>
                <w:szCs w:val="22"/>
                <w:vertAlign w:val="superscript"/>
              </w:rPr>
              <w:t>f,h</w:t>
            </w:r>
            <w:r w:rsidRPr="00962410">
              <w:rPr>
                <w:iCs/>
                <w:szCs w:val="22"/>
              </w:rPr>
              <w:t>.</w:t>
            </w:r>
          </w:p>
        </w:tc>
      </w:tr>
      <w:tr w:rsidR="00C33D04" w:rsidRPr="00962410" w14:paraId="0FA2E64D" w14:textId="77777777" w:rsidTr="008669D3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F9BB" w14:textId="77777777" w:rsidR="00C33D04" w:rsidRPr="00962410" w:rsidRDefault="00C33D04" w:rsidP="008669D3">
            <w:pPr>
              <w:spacing w:before="60" w:after="60"/>
              <w:rPr>
                <w:szCs w:val="22"/>
              </w:rPr>
            </w:pPr>
            <w:r w:rsidRPr="00962410">
              <w:rPr>
                <w:szCs w:val="22"/>
              </w:rPr>
              <w:t>Velmi vzácné</w:t>
            </w:r>
          </w:p>
          <w:p w14:paraId="184449D6" w14:textId="77777777" w:rsidR="00C33D04" w:rsidRPr="00962410" w:rsidRDefault="00C33D04" w:rsidP="008669D3">
            <w:pPr>
              <w:spacing w:before="60" w:after="60"/>
              <w:rPr>
                <w:szCs w:val="22"/>
              </w:rPr>
            </w:pPr>
            <w:r w:rsidRPr="00962410">
              <w:rPr>
                <w:szCs w:val="22"/>
              </w:rPr>
              <w:t>(&lt; 1 zvíře / 10 000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547D" w14:textId="77777777" w:rsidR="00C33D04" w:rsidRPr="00962410" w:rsidRDefault="00C33D04" w:rsidP="008669D3">
            <w:pPr>
              <w:spacing w:before="60" w:after="60"/>
              <w:rPr>
                <w:iCs/>
                <w:szCs w:val="22"/>
              </w:rPr>
            </w:pPr>
            <w:r w:rsidRPr="00962410">
              <w:rPr>
                <w:iCs/>
                <w:szCs w:val="22"/>
              </w:rPr>
              <w:t>Lymfadenopatie</w:t>
            </w:r>
            <w:r w:rsidRPr="00962410">
              <w:rPr>
                <w:iCs/>
                <w:szCs w:val="22"/>
                <w:vertAlign w:val="superscript"/>
              </w:rPr>
              <w:t>f,h</w:t>
            </w:r>
            <w:r w:rsidRPr="00962410">
              <w:rPr>
                <w:iCs/>
                <w:szCs w:val="22"/>
              </w:rPr>
              <w:t>.</w:t>
            </w:r>
          </w:p>
        </w:tc>
      </w:tr>
    </w:tbl>
    <w:p w14:paraId="7769D5DC" w14:textId="77777777" w:rsidR="00C33D04" w:rsidRPr="00962410" w:rsidRDefault="00C33D04" w:rsidP="00C33D04">
      <w:pPr>
        <w:tabs>
          <w:tab w:val="clear" w:pos="567"/>
        </w:tabs>
        <w:spacing w:line="240" w:lineRule="auto"/>
        <w:ind w:left="142" w:hanging="142"/>
        <w:rPr>
          <w:szCs w:val="22"/>
        </w:rPr>
      </w:pPr>
      <w:r w:rsidRPr="00962410">
        <w:rPr>
          <w:szCs w:val="22"/>
          <w:vertAlign w:val="superscript"/>
        </w:rPr>
        <w:t>a</w:t>
      </w:r>
      <w:r w:rsidRPr="00962410">
        <w:rPr>
          <w:szCs w:val="22"/>
        </w:rPr>
        <w:t xml:space="preserve"> Vymizí během 7–45 dnů po ukončení léčby thiamazolem.</w:t>
      </w:r>
    </w:p>
    <w:p w14:paraId="323E5A79" w14:textId="77777777" w:rsidR="00C33D04" w:rsidRPr="00962410" w:rsidRDefault="00C33D04" w:rsidP="00C33D04">
      <w:pPr>
        <w:tabs>
          <w:tab w:val="clear" w:pos="567"/>
        </w:tabs>
        <w:spacing w:line="240" w:lineRule="auto"/>
        <w:ind w:left="142" w:hanging="142"/>
        <w:rPr>
          <w:szCs w:val="22"/>
        </w:rPr>
      </w:pPr>
      <w:r w:rsidRPr="00962410">
        <w:rPr>
          <w:szCs w:val="22"/>
          <w:vertAlign w:val="superscript"/>
        </w:rPr>
        <w:t>b</w:t>
      </w:r>
      <w:r w:rsidRPr="00962410">
        <w:rPr>
          <w:szCs w:val="22"/>
        </w:rPr>
        <w:t xml:space="preserve"> Těžká forma. Na hlavě a na krku.</w:t>
      </w:r>
    </w:p>
    <w:p w14:paraId="1D21B00C" w14:textId="77777777" w:rsidR="00C33D04" w:rsidRPr="00962410" w:rsidRDefault="00C33D04" w:rsidP="00C33D04">
      <w:pPr>
        <w:tabs>
          <w:tab w:val="clear" w:pos="567"/>
        </w:tabs>
        <w:spacing w:line="240" w:lineRule="auto"/>
        <w:ind w:left="142" w:hanging="142"/>
        <w:rPr>
          <w:szCs w:val="22"/>
        </w:rPr>
      </w:pPr>
      <w:r w:rsidRPr="00962410">
        <w:rPr>
          <w:szCs w:val="22"/>
          <w:vertAlign w:val="superscript"/>
        </w:rPr>
        <w:t>c</w:t>
      </w:r>
      <w:r w:rsidRPr="00962410">
        <w:rPr>
          <w:szCs w:val="22"/>
        </w:rPr>
        <w:t xml:space="preserve"> Známka krvácivosti.</w:t>
      </w:r>
    </w:p>
    <w:p w14:paraId="306B78E7" w14:textId="77777777" w:rsidR="00C33D04" w:rsidRPr="00962410" w:rsidRDefault="00C33D04" w:rsidP="00C33D04">
      <w:pPr>
        <w:tabs>
          <w:tab w:val="clear" w:pos="567"/>
        </w:tabs>
        <w:spacing w:line="240" w:lineRule="auto"/>
        <w:ind w:left="142" w:hanging="142"/>
        <w:rPr>
          <w:szCs w:val="22"/>
        </w:rPr>
      </w:pPr>
      <w:r w:rsidRPr="00962410">
        <w:rPr>
          <w:szCs w:val="22"/>
          <w:vertAlign w:val="superscript"/>
        </w:rPr>
        <w:t>d</w:t>
      </w:r>
      <w:r w:rsidRPr="00962410">
        <w:rPr>
          <w:szCs w:val="22"/>
        </w:rPr>
        <w:t xml:space="preserve"> Spojená s hepatopatií.</w:t>
      </w:r>
    </w:p>
    <w:p w14:paraId="260A06C4" w14:textId="77777777" w:rsidR="00C33D04" w:rsidRPr="00962410" w:rsidRDefault="00C33D04" w:rsidP="00C33D04">
      <w:pPr>
        <w:tabs>
          <w:tab w:val="clear" w:pos="567"/>
        </w:tabs>
        <w:spacing w:line="240" w:lineRule="auto"/>
        <w:ind w:left="142" w:hanging="142"/>
        <w:rPr>
          <w:szCs w:val="22"/>
        </w:rPr>
      </w:pPr>
      <w:r w:rsidRPr="00962410">
        <w:rPr>
          <w:szCs w:val="22"/>
          <w:vertAlign w:val="superscript"/>
        </w:rPr>
        <w:t>e</w:t>
      </w:r>
      <w:r w:rsidRPr="00962410">
        <w:rPr>
          <w:szCs w:val="22"/>
        </w:rPr>
        <w:t xml:space="preserve"> Mírná.</w:t>
      </w:r>
    </w:p>
    <w:p w14:paraId="69B266AA" w14:textId="77777777" w:rsidR="00C33D04" w:rsidRPr="00962410" w:rsidRDefault="00C33D04" w:rsidP="00C33D04">
      <w:pPr>
        <w:tabs>
          <w:tab w:val="clear" w:pos="567"/>
        </w:tabs>
        <w:spacing w:line="240" w:lineRule="auto"/>
        <w:ind w:left="142" w:hanging="142"/>
        <w:rPr>
          <w:szCs w:val="22"/>
        </w:rPr>
      </w:pPr>
      <w:r w:rsidRPr="00962410">
        <w:rPr>
          <w:szCs w:val="22"/>
          <w:vertAlign w:val="superscript"/>
        </w:rPr>
        <w:t>f</w:t>
      </w:r>
      <w:r w:rsidRPr="00962410">
        <w:rPr>
          <w:szCs w:val="22"/>
        </w:rPr>
        <w:t xml:space="preserve"> Imunologický vedlejší účinek.</w:t>
      </w:r>
    </w:p>
    <w:p w14:paraId="7C198350" w14:textId="77777777" w:rsidR="00C33D04" w:rsidRPr="00962410" w:rsidRDefault="00C33D04" w:rsidP="00C33D04">
      <w:pPr>
        <w:tabs>
          <w:tab w:val="clear" w:pos="567"/>
        </w:tabs>
        <w:spacing w:line="240" w:lineRule="auto"/>
        <w:ind w:left="142" w:hanging="142"/>
        <w:rPr>
          <w:szCs w:val="22"/>
        </w:rPr>
      </w:pPr>
      <w:r w:rsidRPr="00962410">
        <w:rPr>
          <w:szCs w:val="22"/>
          <w:vertAlign w:val="superscript"/>
        </w:rPr>
        <w:t>g</w:t>
      </w:r>
      <w:r w:rsidRPr="00962410">
        <w:rPr>
          <w:szCs w:val="22"/>
        </w:rPr>
        <w:t xml:space="preserve"> Vyskytuje se méně často jako hematologická anomálie a vzácně jako imunologický vedlejší účinek.</w:t>
      </w:r>
    </w:p>
    <w:p w14:paraId="79CF820E" w14:textId="77777777" w:rsidR="00C33D04" w:rsidRPr="00962410" w:rsidRDefault="00C33D04" w:rsidP="00C33D04">
      <w:pPr>
        <w:tabs>
          <w:tab w:val="clear" w:pos="567"/>
        </w:tabs>
        <w:spacing w:line="240" w:lineRule="auto"/>
        <w:ind w:left="142" w:hanging="142"/>
        <w:rPr>
          <w:rFonts w:eastAsia="Calibri"/>
          <w:szCs w:val="22"/>
        </w:rPr>
      </w:pPr>
      <w:r w:rsidRPr="00962410">
        <w:rPr>
          <w:szCs w:val="22"/>
          <w:vertAlign w:val="superscript"/>
        </w:rPr>
        <w:t>h</w:t>
      </w:r>
      <w:r w:rsidRPr="00962410">
        <w:rPr>
          <w:szCs w:val="22"/>
        </w:rPr>
        <w:t xml:space="preserve"> Léčbu ihned zastavte a po přiměřené době na zotavení zvažte alternativní terapii.</w:t>
      </w:r>
    </w:p>
    <w:p w14:paraId="1EF1B0CD" w14:textId="77777777" w:rsidR="00C33D04" w:rsidRPr="00962410" w:rsidRDefault="00C33D04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F004BB6" w14:textId="3D95FB55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 xml:space="preserve">V souvislosti s dlouhodobou léčbou hypertyreózy byly hlášeny nežádoucí </w:t>
      </w:r>
      <w:r w:rsidR="00C45EE9">
        <w:rPr>
          <w:szCs w:val="22"/>
        </w:rPr>
        <w:t>účinky</w:t>
      </w:r>
      <w:r w:rsidRPr="00962410">
        <w:rPr>
          <w:szCs w:val="22"/>
        </w:rPr>
        <w:t>. V mnoha případech mohou být příznaky mírné a přechodné a nejsou důvodem k přerušení léčby. Vážnější nežádoucí účinky většinou vymizí po ukončení léčby.</w:t>
      </w:r>
      <w:r w:rsidR="00E6676D">
        <w:rPr>
          <w:szCs w:val="22"/>
        </w:rPr>
        <w:t xml:space="preserve"> </w:t>
      </w:r>
      <w:r w:rsidRPr="00962410">
        <w:rPr>
          <w:szCs w:val="22"/>
        </w:rPr>
        <w:t>V případě dlouhodobé léčby hlodavců thiamazolem bylo pozorováno zvýšené riziko vzniku neoplazie štítné žlázy, avšak u koček toto nebylo doloženo.</w:t>
      </w:r>
    </w:p>
    <w:p w14:paraId="096564A8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4BF7BD58" w14:textId="1960E402" w:rsidR="00B0786F" w:rsidRPr="00962410" w:rsidRDefault="00C33D04" w:rsidP="00B0786F">
      <w:pPr>
        <w:tabs>
          <w:tab w:val="clear" w:pos="567"/>
        </w:tabs>
        <w:spacing w:line="240" w:lineRule="auto"/>
      </w:pPr>
      <w:r w:rsidRPr="00962410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</w:t>
      </w:r>
      <w:r w:rsidR="00136AE8">
        <w:t xml:space="preserve"> </w:t>
      </w:r>
      <w:r w:rsidRPr="00962410">
        <w:t>nebo jeho místnímu zástupci, nebo příslušnému vnitrostátnímu orgánu prostřednictvím národního systému hlášení. Podrobné kontaktní údaje naleznete v příbalové informaci.</w:t>
      </w:r>
    </w:p>
    <w:p w14:paraId="0528332E" w14:textId="77777777" w:rsidR="00C33D04" w:rsidRPr="00962410" w:rsidRDefault="00C33D04" w:rsidP="00B0786F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962410" w:rsidRDefault="00C605FD" w:rsidP="00B13B6D">
      <w:pPr>
        <w:pStyle w:val="Style1"/>
      </w:pPr>
      <w:r w:rsidRPr="00962410">
        <w:t>3.7</w:t>
      </w:r>
      <w:r w:rsidRPr="00962410">
        <w:tab/>
        <w:t>Použití v průběhu březosti, laktace nebo snášky</w:t>
      </w:r>
    </w:p>
    <w:p w14:paraId="0DFBFADE" w14:textId="77777777" w:rsidR="00C114FF" w:rsidRPr="0096241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10A66C0D" w:rsidR="00C114FF" w:rsidRPr="00962410" w:rsidRDefault="00C605FD" w:rsidP="00E74050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u w:val="single"/>
        </w:rPr>
        <w:t>Březost</w:t>
      </w:r>
      <w:r w:rsidR="00B0786F" w:rsidRPr="00962410">
        <w:rPr>
          <w:u w:val="single"/>
        </w:rPr>
        <w:t xml:space="preserve"> </w:t>
      </w:r>
      <w:r w:rsidRPr="00962410">
        <w:rPr>
          <w:szCs w:val="22"/>
          <w:u w:val="single"/>
        </w:rPr>
        <w:t>a laktace</w:t>
      </w:r>
      <w:r w:rsidRPr="00962410">
        <w:t>:</w:t>
      </w:r>
    </w:p>
    <w:p w14:paraId="45A16993" w14:textId="649E722D" w:rsidR="00C114FF" w:rsidRPr="00962410" w:rsidRDefault="00B0786F" w:rsidP="00A9226B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 xml:space="preserve">Laboratorní studie </w:t>
      </w:r>
      <w:r w:rsidR="00C33D04" w:rsidRPr="00962410">
        <w:rPr>
          <w:szCs w:val="22"/>
        </w:rPr>
        <w:t>u potkanů a myší</w:t>
      </w:r>
      <w:r w:rsidRPr="00962410">
        <w:rPr>
          <w:szCs w:val="22"/>
        </w:rPr>
        <w:t xml:space="preserve"> prokázaly teratogenní a embryotoxické účinky </w:t>
      </w:r>
      <w:proofErr w:type="spellStart"/>
      <w:r w:rsidRPr="00962410">
        <w:rPr>
          <w:szCs w:val="22"/>
        </w:rPr>
        <w:t>thiamazolu</w:t>
      </w:r>
      <w:proofErr w:type="spellEnd"/>
      <w:r w:rsidRPr="00962410">
        <w:rPr>
          <w:szCs w:val="22"/>
        </w:rPr>
        <w:t xml:space="preserve">. </w:t>
      </w:r>
      <w:r w:rsidR="00C33D04" w:rsidRPr="00962410">
        <w:rPr>
          <w:szCs w:val="22"/>
        </w:rPr>
        <w:t xml:space="preserve">Nebyla </w:t>
      </w:r>
      <w:r w:rsidR="00E6676D" w:rsidRPr="00962410">
        <w:rPr>
          <w:szCs w:val="22"/>
        </w:rPr>
        <w:t>stanovena</w:t>
      </w:r>
      <w:r w:rsidR="00C33D04" w:rsidRPr="00962410">
        <w:rPr>
          <w:szCs w:val="22"/>
        </w:rPr>
        <w:t xml:space="preserve"> b</w:t>
      </w:r>
      <w:r w:rsidRPr="00962410">
        <w:rPr>
          <w:szCs w:val="22"/>
        </w:rPr>
        <w:t xml:space="preserve">ezpečnost </w:t>
      </w:r>
      <w:r w:rsidR="00C33D04" w:rsidRPr="00962410">
        <w:rPr>
          <w:szCs w:val="22"/>
        </w:rPr>
        <w:t xml:space="preserve">veterinárního léčivého </w:t>
      </w:r>
      <w:r w:rsidRPr="00962410">
        <w:rPr>
          <w:szCs w:val="22"/>
        </w:rPr>
        <w:t xml:space="preserve">přípravku </w:t>
      </w:r>
      <w:r w:rsidR="00C33D04" w:rsidRPr="00962410">
        <w:rPr>
          <w:szCs w:val="22"/>
        </w:rPr>
        <w:t>pro použití</w:t>
      </w:r>
      <w:r w:rsidRPr="00962410">
        <w:rPr>
          <w:szCs w:val="22"/>
        </w:rPr>
        <w:t xml:space="preserve"> </w:t>
      </w:r>
      <w:r w:rsidR="001C053A">
        <w:rPr>
          <w:szCs w:val="22"/>
        </w:rPr>
        <w:t>během</w:t>
      </w:r>
      <w:r w:rsidRPr="00962410">
        <w:rPr>
          <w:szCs w:val="22"/>
        </w:rPr>
        <w:t xml:space="preserve"> břez</w:t>
      </w:r>
      <w:r w:rsidR="001C053A">
        <w:rPr>
          <w:szCs w:val="22"/>
        </w:rPr>
        <w:t>osti</w:t>
      </w:r>
      <w:r w:rsidRPr="00962410">
        <w:rPr>
          <w:szCs w:val="22"/>
        </w:rPr>
        <w:t xml:space="preserve"> a lakt</w:t>
      </w:r>
      <w:r w:rsidR="001C053A">
        <w:rPr>
          <w:szCs w:val="22"/>
        </w:rPr>
        <w:t>ace</w:t>
      </w:r>
      <w:r w:rsidRPr="00962410">
        <w:rPr>
          <w:szCs w:val="22"/>
        </w:rPr>
        <w:t xml:space="preserve">. Nepoužívat </w:t>
      </w:r>
      <w:r w:rsidR="001C053A">
        <w:rPr>
          <w:szCs w:val="22"/>
        </w:rPr>
        <w:t>během</w:t>
      </w:r>
      <w:r w:rsidRPr="00962410">
        <w:rPr>
          <w:szCs w:val="22"/>
        </w:rPr>
        <w:t xml:space="preserve"> břez</w:t>
      </w:r>
      <w:r w:rsidR="001C053A">
        <w:rPr>
          <w:szCs w:val="22"/>
        </w:rPr>
        <w:t>osti</w:t>
      </w:r>
      <w:r w:rsidRPr="00962410">
        <w:rPr>
          <w:szCs w:val="22"/>
        </w:rPr>
        <w:t xml:space="preserve"> nebo lakt</w:t>
      </w:r>
      <w:r w:rsidR="001C053A">
        <w:rPr>
          <w:szCs w:val="22"/>
        </w:rPr>
        <w:t>ace</w:t>
      </w:r>
      <w:r w:rsidRPr="00962410">
        <w:rPr>
          <w:szCs w:val="22"/>
        </w:rPr>
        <w:t>.</w:t>
      </w:r>
    </w:p>
    <w:p w14:paraId="4AB437C7" w14:textId="77777777" w:rsidR="00B0786F" w:rsidRPr="00962410" w:rsidRDefault="00B078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962410" w:rsidRDefault="00C605FD" w:rsidP="00B13B6D">
      <w:pPr>
        <w:pStyle w:val="Style1"/>
      </w:pPr>
      <w:r w:rsidRPr="00962410">
        <w:t>3.8</w:t>
      </w:r>
      <w:r w:rsidRPr="00962410">
        <w:tab/>
        <w:t>Interakce s jinými léčivými přípravky a další formy interakce</w:t>
      </w:r>
    </w:p>
    <w:p w14:paraId="54454937" w14:textId="77777777" w:rsidR="00C114FF" w:rsidRPr="0096241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4BE7502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Souběžná léčba fenobarbitalem může snižovat klinickou účinnost thiamazolu.</w:t>
      </w:r>
    </w:p>
    <w:p w14:paraId="699B85C5" w14:textId="62C3D810" w:rsidR="00B0786F" w:rsidRPr="00962410" w:rsidRDefault="00E41B38" w:rsidP="00B0786F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T</w:t>
      </w:r>
      <w:r w:rsidR="00B0786F" w:rsidRPr="00962410">
        <w:rPr>
          <w:szCs w:val="22"/>
        </w:rPr>
        <w:t>hiamazol</w:t>
      </w:r>
      <w:proofErr w:type="spellEnd"/>
      <w:r w:rsidR="00B0786F" w:rsidRPr="00962410">
        <w:rPr>
          <w:szCs w:val="22"/>
        </w:rPr>
        <w:t xml:space="preserve"> snižuje oxidaci </w:t>
      </w:r>
      <w:proofErr w:type="spellStart"/>
      <w:r w:rsidR="00B0786F" w:rsidRPr="00962410">
        <w:rPr>
          <w:szCs w:val="22"/>
        </w:rPr>
        <w:t>benzimidazolových</w:t>
      </w:r>
      <w:proofErr w:type="spellEnd"/>
      <w:r w:rsidR="00B0786F" w:rsidRPr="00962410">
        <w:rPr>
          <w:szCs w:val="22"/>
        </w:rPr>
        <w:t xml:space="preserve"> anthelmintik v játrech a při současném podávání může vést ke zvýšení jejich koncentrac</w:t>
      </w:r>
      <w:r>
        <w:rPr>
          <w:szCs w:val="22"/>
        </w:rPr>
        <w:t>e</w:t>
      </w:r>
      <w:r w:rsidR="00B0786F" w:rsidRPr="00962410">
        <w:rPr>
          <w:szCs w:val="22"/>
        </w:rPr>
        <w:t xml:space="preserve"> v plazmě.</w:t>
      </w:r>
    </w:p>
    <w:p w14:paraId="0B86F3A7" w14:textId="0E67D1AD" w:rsidR="00C90EDA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Thiamazol má imunomodulační účinek, s čímž je třeba počítat při zvažování vakcinačních schémat.</w:t>
      </w:r>
    </w:p>
    <w:p w14:paraId="1A327DFD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962410" w:rsidRDefault="00C605FD" w:rsidP="00B13B6D">
      <w:pPr>
        <w:pStyle w:val="Style1"/>
      </w:pPr>
      <w:r w:rsidRPr="00962410">
        <w:t>3.9</w:t>
      </w:r>
      <w:r w:rsidRPr="00962410">
        <w:tab/>
        <w:t>Cesty podání a dávkování</w:t>
      </w:r>
    </w:p>
    <w:p w14:paraId="0C31E074" w14:textId="77777777" w:rsidR="00145D34" w:rsidRPr="00962410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274F50E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Perorální podání.</w:t>
      </w:r>
    </w:p>
    <w:p w14:paraId="65E3ACDD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5BE9CB9D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Ke stabilizaci hypertyreózy u koček před chirurgickou tyroidektomií a k dlouhodobé léčbě hypertyreózy u koček je doporučena počáteční dávka 5 mg denně.</w:t>
      </w:r>
    </w:p>
    <w:p w14:paraId="3335225A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Je-li to možné, celková denní dávka by měla být rozdělena na dvě části a podávána ráno a večer. Tablety by neměly být děleny.</w:t>
      </w:r>
    </w:p>
    <w:p w14:paraId="187398C9" w14:textId="0E44D64D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lastRenderedPageBreak/>
        <w:t>Je-li z důvodu zajištění pravidelného podání léčebné dávky preferováno podání 5 mg tablety jedenkrát denně, je toto dávkování možné, i když podání 2,5 mg tablety dvakrát denně může být v krátkodobém horizontu účinnější. Tableta 5 mg je rovněž vhodná u koček, které potřebují vyšší dávku.</w:t>
      </w:r>
    </w:p>
    <w:p w14:paraId="48052E1A" w14:textId="01DDFE73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Před zahájením léčby a poté po 3</w:t>
      </w:r>
      <w:r w:rsidR="005E5025">
        <w:rPr>
          <w:szCs w:val="22"/>
        </w:rPr>
        <w:t xml:space="preserve"> týdnech</w:t>
      </w:r>
      <w:r w:rsidRPr="00962410">
        <w:rPr>
          <w:szCs w:val="22"/>
        </w:rPr>
        <w:t>,</w:t>
      </w:r>
      <w:r w:rsidR="00E41B38">
        <w:rPr>
          <w:szCs w:val="22"/>
        </w:rPr>
        <w:t xml:space="preserve"> </w:t>
      </w:r>
      <w:r w:rsidRPr="00962410">
        <w:rPr>
          <w:szCs w:val="22"/>
        </w:rPr>
        <w:t>6</w:t>
      </w:r>
      <w:r w:rsidR="005E5025">
        <w:rPr>
          <w:szCs w:val="22"/>
        </w:rPr>
        <w:t xml:space="preserve"> týdnech</w:t>
      </w:r>
      <w:r w:rsidRPr="00962410">
        <w:rPr>
          <w:szCs w:val="22"/>
        </w:rPr>
        <w:t>,</w:t>
      </w:r>
      <w:r w:rsidR="00E41B38">
        <w:rPr>
          <w:szCs w:val="22"/>
        </w:rPr>
        <w:t xml:space="preserve"> </w:t>
      </w:r>
      <w:r w:rsidRPr="00962410">
        <w:rPr>
          <w:szCs w:val="22"/>
        </w:rPr>
        <w:t>10</w:t>
      </w:r>
      <w:r w:rsidR="005E5025">
        <w:rPr>
          <w:szCs w:val="22"/>
        </w:rPr>
        <w:t xml:space="preserve"> týdnech</w:t>
      </w:r>
      <w:r w:rsidRPr="00962410">
        <w:rPr>
          <w:szCs w:val="22"/>
        </w:rPr>
        <w:t xml:space="preserve"> a 20 týdnech a dále každé 3 měsíce by mělo být provedeno hematologické a biochemické vyšetření a stanovení celkového T4 v séru. V každém z doporučených intervalů by měla být dávka </w:t>
      </w:r>
      <w:r w:rsidR="001E5CC3">
        <w:rPr>
          <w:szCs w:val="22"/>
        </w:rPr>
        <w:t>uzpůsobena</w:t>
      </w:r>
      <w:r w:rsidR="001E5CC3" w:rsidRPr="00962410">
        <w:rPr>
          <w:szCs w:val="22"/>
        </w:rPr>
        <w:t xml:space="preserve"> </w:t>
      </w:r>
      <w:r w:rsidRPr="00962410">
        <w:rPr>
          <w:szCs w:val="22"/>
        </w:rPr>
        <w:t>podle celkového T4 a klinické reakce na léčbu. Úpravu dávky je třeba provádět v přírůstcích po 2,5 mg, přičemž cílem by mělo být dosažení nejnižší možné dávky.</w:t>
      </w:r>
    </w:p>
    <w:p w14:paraId="09C66601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Pokud je nutné dávkování vyšší než 10 mg denně, zvířata musí být velmi pečlivě sledována.</w:t>
      </w:r>
    </w:p>
    <w:p w14:paraId="1B43DD94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Podaná dávka nesmí překročit 20 mg/den.</w:t>
      </w:r>
    </w:p>
    <w:p w14:paraId="13504C24" w14:textId="1598267F" w:rsidR="00247A48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U dlouhodobé léčby hypertyreózy by zvířata měla být léčena celoživotně.</w:t>
      </w:r>
    </w:p>
    <w:p w14:paraId="51FECF05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962410" w:rsidRDefault="00C605FD" w:rsidP="00B13B6D">
      <w:pPr>
        <w:pStyle w:val="Style1"/>
      </w:pPr>
      <w:r w:rsidRPr="00962410">
        <w:t>3.10</w:t>
      </w:r>
      <w:r w:rsidRPr="00962410">
        <w:tab/>
        <w:t xml:space="preserve">Příznaky předávkování </w:t>
      </w:r>
      <w:r w:rsidR="00EC5045" w:rsidRPr="00962410">
        <w:t>(</w:t>
      </w:r>
      <w:r w:rsidRPr="00962410">
        <w:t xml:space="preserve">a </w:t>
      </w:r>
      <w:r w:rsidR="00202A85" w:rsidRPr="00962410">
        <w:t>kde</w:t>
      </w:r>
      <w:r w:rsidR="005E66FC" w:rsidRPr="00962410">
        <w:t xml:space="preserve"> </w:t>
      </w:r>
      <w:r w:rsidR="00202A85" w:rsidRPr="00962410">
        <w:t>je</w:t>
      </w:r>
      <w:r w:rsidR="005E66FC" w:rsidRPr="00962410">
        <w:t xml:space="preserve"> </w:t>
      </w:r>
      <w:r w:rsidR="00FB6F2F" w:rsidRPr="00962410">
        <w:t>relevantní</w:t>
      </w:r>
      <w:r w:rsidR="00202A85" w:rsidRPr="00962410">
        <w:t>, první pomoc</w:t>
      </w:r>
      <w:r w:rsidRPr="00962410">
        <w:t xml:space="preserve"> a antidota</w:t>
      </w:r>
      <w:r w:rsidR="00202A85" w:rsidRPr="00962410">
        <w:t>)</w:t>
      </w:r>
      <w:r w:rsidRPr="00962410">
        <w:t xml:space="preserve"> </w:t>
      </w:r>
    </w:p>
    <w:p w14:paraId="45A34650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3BB69D" w14:textId="6C4FDBE6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Při studiích snášenlivosti prováděných na mladých zdravých kočkách se při dávkách až do 30 mg/zvíře/den objevily následující klinické příznaky související s dávkou: anorexie, zvracení, letargie, svědění a hematologické a biochemické odchylky jako např. neutropenie, lymfopenie, snížené hladiny draslíku a fosfátů v séru, zvýšené hladiny hořčíku a kreatininu a výskyt antinukleárních protilátek. Při dávce 30 mg/den se u některých koček projevily známky hemolytické anemie a závažného zhoršení klinického stavu. Některé z těchto příznaků se mohou vyskytnout také u hypertyreoidních koček léčených dávkami až do 20 mg denně.</w:t>
      </w:r>
    </w:p>
    <w:p w14:paraId="14D97A75" w14:textId="73AA9BF5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 xml:space="preserve">Příliš vysoké dávky mohou u hypertyreoidních koček vyvolat příznaky snížené činnosti štítné žlázy. To je však nepravděpodobné, protože hypertyreóza je obvykle korigována mechanismem negativní zpětné vazby. Viz bod </w:t>
      </w:r>
      <w:r w:rsidR="00C33D04" w:rsidRPr="00962410">
        <w:rPr>
          <w:szCs w:val="22"/>
        </w:rPr>
        <w:t>3</w:t>
      </w:r>
      <w:r w:rsidRPr="00962410">
        <w:rPr>
          <w:szCs w:val="22"/>
        </w:rPr>
        <w:t xml:space="preserve">.6 Nežádoucí </w:t>
      </w:r>
      <w:r w:rsidR="00133E52">
        <w:rPr>
          <w:szCs w:val="22"/>
        </w:rPr>
        <w:t>účinky</w:t>
      </w:r>
      <w:r w:rsidRPr="00962410">
        <w:rPr>
          <w:szCs w:val="22"/>
        </w:rPr>
        <w:t>.</w:t>
      </w:r>
    </w:p>
    <w:p w14:paraId="54C2FBB6" w14:textId="763B90AD" w:rsidR="006764C6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Pokud dojde k předávkování, přerušte podávání a poskytněte symptomatickou a podpůrnou péči.</w:t>
      </w:r>
    </w:p>
    <w:p w14:paraId="79953A29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962410" w:rsidRDefault="00C605FD" w:rsidP="00B13B6D">
      <w:pPr>
        <w:pStyle w:val="Style1"/>
      </w:pPr>
      <w:r w:rsidRPr="00962410">
        <w:t>3.11</w:t>
      </w:r>
      <w:r w:rsidRPr="00962410">
        <w:tab/>
        <w:t>Zvláštní omezení pro použití a zvláštní podmínky pro použití, včetně omezení používání antimikrob</w:t>
      </w:r>
      <w:r w:rsidR="00202A85" w:rsidRPr="00962410">
        <w:t>ních</w:t>
      </w:r>
      <w:r w:rsidRPr="00962410">
        <w:t xml:space="preserve"> a antiparazitárních veterinárních léčivých přípravků, za účelem snížení rizika rozvoje rezistence</w:t>
      </w:r>
    </w:p>
    <w:p w14:paraId="1204C42F" w14:textId="77777777" w:rsidR="009A6509" w:rsidRPr="00962410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22696708" w:rsidR="009A6509" w:rsidRDefault="00940726" w:rsidP="009A6509">
      <w:pPr>
        <w:tabs>
          <w:tab w:val="clear" w:pos="567"/>
        </w:tabs>
        <w:spacing w:line="240" w:lineRule="auto"/>
      </w:pPr>
      <w:r w:rsidRPr="00962410">
        <w:t>Neuplatňuje se.</w:t>
      </w:r>
    </w:p>
    <w:p w14:paraId="045E307B" w14:textId="77777777" w:rsidR="00940726" w:rsidRPr="00962410" w:rsidRDefault="00940726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962410" w:rsidRDefault="00C605FD" w:rsidP="00B13B6D">
      <w:pPr>
        <w:pStyle w:val="Style1"/>
      </w:pPr>
      <w:r w:rsidRPr="00962410">
        <w:t>3.12</w:t>
      </w:r>
      <w:r w:rsidRPr="00962410">
        <w:tab/>
        <w:t>Ochranné lhůty</w:t>
      </w:r>
    </w:p>
    <w:p w14:paraId="2DC95067" w14:textId="77777777" w:rsidR="00C114FF" w:rsidRPr="0096241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F87B3A" w14:textId="461BA34F" w:rsidR="00B0786F" w:rsidRPr="00962410" w:rsidRDefault="00C33D04" w:rsidP="00A9226B">
      <w:pPr>
        <w:tabs>
          <w:tab w:val="clear" w:pos="567"/>
        </w:tabs>
        <w:spacing w:line="240" w:lineRule="auto"/>
        <w:rPr>
          <w:szCs w:val="22"/>
        </w:rPr>
      </w:pPr>
      <w:r w:rsidRPr="00962410">
        <w:t>Neuplatňuje se.</w:t>
      </w:r>
    </w:p>
    <w:p w14:paraId="753F8915" w14:textId="6171A233" w:rsidR="006764C6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86C72" w14:textId="77777777" w:rsidR="00D3387C" w:rsidRPr="00962410" w:rsidRDefault="00D3387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BB8EB25" w:rsidR="00C114FF" w:rsidRPr="00962410" w:rsidRDefault="00C605FD" w:rsidP="00B13B6D">
      <w:pPr>
        <w:pStyle w:val="Style1"/>
      </w:pPr>
      <w:r w:rsidRPr="00962410">
        <w:t>4.</w:t>
      </w:r>
      <w:r w:rsidRPr="00962410">
        <w:tab/>
        <w:t>FARMAKOLOGICKÉ INFORMACE</w:t>
      </w:r>
    </w:p>
    <w:p w14:paraId="2C2A4C50" w14:textId="77777777" w:rsidR="00C114FF" w:rsidRPr="0096241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965196" w14:textId="28C7C535" w:rsidR="00C114FF" w:rsidRPr="00CD1365" w:rsidRDefault="00C605FD" w:rsidP="00CD1365">
      <w:pPr>
        <w:pStyle w:val="Style1"/>
        <w:rPr>
          <w:bCs/>
        </w:rPr>
      </w:pPr>
      <w:r w:rsidRPr="00962410">
        <w:t>4.1</w:t>
      </w:r>
      <w:r w:rsidRPr="00962410">
        <w:tab/>
      </w:r>
      <w:proofErr w:type="spellStart"/>
      <w:r w:rsidRPr="00962410">
        <w:t>ATCvet</w:t>
      </w:r>
      <w:proofErr w:type="spellEnd"/>
      <w:r w:rsidRPr="00962410">
        <w:t xml:space="preserve"> kód:</w:t>
      </w:r>
      <w:r w:rsidR="00E6676D" w:rsidRPr="00CD1365">
        <w:rPr>
          <w:b w:val="0"/>
          <w:bCs/>
        </w:rPr>
        <w:t xml:space="preserve"> </w:t>
      </w:r>
      <w:r w:rsidR="00B0786F" w:rsidRPr="00CD1365">
        <w:rPr>
          <w:b w:val="0"/>
          <w:bCs/>
        </w:rPr>
        <w:t>QH03BB02</w:t>
      </w:r>
    </w:p>
    <w:p w14:paraId="75D590F9" w14:textId="77777777" w:rsidR="00B0786F" w:rsidRPr="00962410" w:rsidRDefault="00B078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48333686" w:rsidR="00C114FF" w:rsidRPr="00962410" w:rsidRDefault="00C605FD" w:rsidP="00B13B6D">
      <w:pPr>
        <w:pStyle w:val="Style1"/>
      </w:pPr>
      <w:r w:rsidRPr="00962410">
        <w:t>4.2</w:t>
      </w:r>
      <w:r w:rsidRPr="00962410">
        <w:tab/>
        <w:t>Farmakodynamika</w:t>
      </w:r>
    </w:p>
    <w:p w14:paraId="50FA42E3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45DBB7" w14:textId="12E53AD4" w:rsidR="00B0786F" w:rsidRPr="00962410" w:rsidRDefault="00B0786F" w:rsidP="00A9226B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Thi</w:t>
      </w:r>
      <w:r w:rsidR="00E6676D">
        <w:rPr>
          <w:szCs w:val="22"/>
        </w:rPr>
        <w:t>a</w:t>
      </w:r>
      <w:r w:rsidRPr="00962410">
        <w:rPr>
          <w:szCs w:val="22"/>
        </w:rPr>
        <w:t xml:space="preserve">mazol blokuje </w:t>
      </w:r>
      <w:r w:rsidRPr="00962410">
        <w:rPr>
          <w:i/>
          <w:iCs/>
          <w:szCs w:val="22"/>
        </w:rPr>
        <w:t>in vivo</w:t>
      </w:r>
      <w:r w:rsidRPr="00962410">
        <w:rPr>
          <w:szCs w:val="22"/>
        </w:rPr>
        <w:t xml:space="preserve"> biosyntézu hormonu štítné žlázy. Jeho primárním účinkem je inhibice vazby jódu na enzym peroxidázu štítné žlázy. Tak zabraňuje katalytické </w:t>
      </w:r>
      <w:proofErr w:type="spellStart"/>
      <w:r w:rsidRPr="00962410">
        <w:rPr>
          <w:szCs w:val="22"/>
        </w:rPr>
        <w:t>jodaci</w:t>
      </w:r>
      <w:proofErr w:type="spellEnd"/>
      <w:r w:rsidRPr="00962410">
        <w:rPr>
          <w:szCs w:val="22"/>
        </w:rPr>
        <w:t xml:space="preserve"> tyreoglobulinu i syntéze T</w:t>
      </w:r>
      <w:r w:rsidRPr="00962410">
        <w:rPr>
          <w:szCs w:val="22"/>
          <w:vertAlign w:val="subscript"/>
        </w:rPr>
        <w:t>3</w:t>
      </w:r>
      <w:r w:rsidRPr="00962410">
        <w:rPr>
          <w:szCs w:val="22"/>
        </w:rPr>
        <w:t xml:space="preserve"> a T</w:t>
      </w:r>
      <w:r w:rsidRPr="00962410">
        <w:rPr>
          <w:szCs w:val="22"/>
          <w:vertAlign w:val="subscript"/>
        </w:rPr>
        <w:t>4</w:t>
      </w:r>
      <w:r w:rsidRPr="00962410">
        <w:rPr>
          <w:szCs w:val="22"/>
        </w:rPr>
        <w:t>.</w:t>
      </w:r>
    </w:p>
    <w:p w14:paraId="65A25377" w14:textId="77777777" w:rsidR="00B0786F" w:rsidRPr="00962410" w:rsidRDefault="00B078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6FBF9A4E" w:rsidR="00C114FF" w:rsidRPr="00962410" w:rsidRDefault="00C605FD" w:rsidP="00B13B6D">
      <w:pPr>
        <w:pStyle w:val="Style1"/>
      </w:pPr>
      <w:r w:rsidRPr="00962410">
        <w:t>4.3</w:t>
      </w:r>
      <w:r w:rsidRPr="00962410">
        <w:tab/>
        <w:t>Farmakokinetika</w:t>
      </w:r>
    </w:p>
    <w:p w14:paraId="041767DA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177D4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62410">
        <w:rPr>
          <w:szCs w:val="22"/>
          <w:u w:val="single"/>
        </w:rPr>
        <w:t>Absorpce</w:t>
      </w:r>
    </w:p>
    <w:p w14:paraId="0C3EEE3D" w14:textId="6CAFEC43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 xml:space="preserve">Po perorálním podání zdravým kočkám se </w:t>
      </w:r>
      <w:proofErr w:type="spellStart"/>
      <w:r w:rsidRPr="00962410">
        <w:rPr>
          <w:szCs w:val="22"/>
        </w:rPr>
        <w:t>thiamazol</w:t>
      </w:r>
      <w:proofErr w:type="spellEnd"/>
      <w:r w:rsidRPr="00962410">
        <w:rPr>
          <w:szCs w:val="22"/>
        </w:rPr>
        <w:t xml:space="preserve"> rychle a </w:t>
      </w:r>
      <w:r w:rsidR="00FD62D6">
        <w:rPr>
          <w:szCs w:val="22"/>
        </w:rPr>
        <w:t>kompletně</w:t>
      </w:r>
      <w:r w:rsidR="00FD62D6" w:rsidRPr="00962410">
        <w:rPr>
          <w:szCs w:val="22"/>
        </w:rPr>
        <w:t xml:space="preserve"> </w:t>
      </w:r>
      <w:r w:rsidRPr="00962410">
        <w:rPr>
          <w:szCs w:val="22"/>
        </w:rPr>
        <w:t>vstřebá. Biologická dostupnost je &gt;</w:t>
      </w:r>
      <w:proofErr w:type="gramStart"/>
      <w:r w:rsidRPr="00962410">
        <w:rPr>
          <w:szCs w:val="22"/>
        </w:rPr>
        <w:t>75%</w:t>
      </w:r>
      <w:proofErr w:type="gramEnd"/>
      <w:r w:rsidRPr="00962410">
        <w:rPr>
          <w:szCs w:val="22"/>
        </w:rPr>
        <w:t>. Mezi jednotlivými zvířaty však existují značné rozdíly.</w:t>
      </w:r>
    </w:p>
    <w:p w14:paraId="6546550D" w14:textId="58911686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Maximální hladina v plasmě je dosažena asi 0,5-1 hodinu po podání (</w:t>
      </w:r>
      <w:proofErr w:type="spellStart"/>
      <w:r w:rsidR="00C33D04" w:rsidRPr="00962410">
        <w:rPr>
          <w:szCs w:val="22"/>
        </w:rPr>
        <w:t>T</w:t>
      </w:r>
      <w:r w:rsidR="00C33D04" w:rsidRPr="00962410">
        <w:rPr>
          <w:szCs w:val="22"/>
          <w:vertAlign w:val="subscript"/>
        </w:rPr>
        <w:t>max</w:t>
      </w:r>
      <w:proofErr w:type="spellEnd"/>
      <w:r w:rsidR="00C33D04" w:rsidRPr="00962410">
        <w:rPr>
          <w:szCs w:val="22"/>
        </w:rPr>
        <w:t xml:space="preserve"> </w:t>
      </w:r>
      <w:r w:rsidRPr="00962410">
        <w:rPr>
          <w:szCs w:val="22"/>
        </w:rPr>
        <w:t>= 0,69 h</w:t>
      </w:r>
      <w:r w:rsidR="00C33D04" w:rsidRPr="00962410">
        <w:rPr>
          <w:szCs w:val="22"/>
        </w:rPr>
        <w:t>odiny</w:t>
      </w:r>
      <w:r w:rsidRPr="00962410">
        <w:rPr>
          <w:szCs w:val="22"/>
        </w:rPr>
        <w:t>). C</w:t>
      </w:r>
      <w:r w:rsidRPr="00962410">
        <w:rPr>
          <w:szCs w:val="22"/>
          <w:vertAlign w:val="subscript"/>
        </w:rPr>
        <w:t>max</w:t>
      </w:r>
      <w:r w:rsidRPr="00962410">
        <w:rPr>
          <w:szCs w:val="22"/>
        </w:rPr>
        <w:t xml:space="preserve"> je mezi 1,1 a 2,7 μg/ml (1,78 μg/ml) a poločas</w:t>
      </w:r>
      <w:r w:rsidR="00FD62D6">
        <w:rPr>
          <w:szCs w:val="22"/>
        </w:rPr>
        <w:t xml:space="preserve"> eliminace</w:t>
      </w:r>
      <w:r w:rsidRPr="00962410">
        <w:rPr>
          <w:szCs w:val="22"/>
        </w:rPr>
        <w:t xml:space="preserve"> je 3,3 hodiny.</w:t>
      </w:r>
    </w:p>
    <w:p w14:paraId="5639CB15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0230CC09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62410">
        <w:rPr>
          <w:szCs w:val="22"/>
          <w:u w:val="single"/>
        </w:rPr>
        <w:t>Distribuce</w:t>
      </w:r>
    </w:p>
    <w:p w14:paraId="25101BDC" w14:textId="5119FC1A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lastRenderedPageBreak/>
        <w:t xml:space="preserve">Je známo, že u člověka a u potkana může tato léčivá látka prostupovat placentou a </w:t>
      </w:r>
      <w:r w:rsidR="00F036F4">
        <w:rPr>
          <w:szCs w:val="22"/>
        </w:rPr>
        <w:t xml:space="preserve">dále se </w:t>
      </w:r>
      <w:r w:rsidRPr="00962410">
        <w:rPr>
          <w:szCs w:val="22"/>
        </w:rPr>
        <w:t>koncentruje ve štítné žláze plodu. Ve vysoké míře přechází také do mateřského mléka.</w:t>
      </w:r>
    </w:p>
    <w:p w14:paraId="76098F4D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Předpokládá se, že doba setrvání této léčivé látky ve štítné žláze je delší než v plasmě.</w:t>
      </w:r>
    </w:p>
    <w:p w14:paraId="67CB7FA5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04ECD4C1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62410">
        <w:rPr>
          <w:szCs w:val="22"/>
          <w:u w:val="single"/>
        </w:rPr>
        <w:t>Metabolismus a vylučování</w:t>
      </w:r>
    </w:p>
    <w:p w14:paraId="0A06DF6E" w14:textId="0CAAB49A" w:rsidR="00C114F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Metabolismus thiamazolu u koček nebyl studován, u potkanů se však thiamazol rychle metabolizuje ve štítné žláze. Asi 64% podané dávky se vylučuje v moči a pouze 7,8% se vylučuje trusem na rozdíl od člověka, kde jsou pro metabolickou degradaci této látky důležitá játra.</w:t>
      </w:r>
    </w:p>
    <w:p w14:paraId="0BAE5E9E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962410" w:rsidRDefault="00C605FD" w:rsidP="00B13B6D">
      <w:pPr>
        <w:pStyle w:val="Style1"/>
      </w:pPr>
      <w:r w:rsidRPr="00962410">
        <w:t>5.</w:t>
      </w:r>
      <w:r w:rsidRPr="00962410">
        <w:tab/>
        <w:t>FARMACEUTICKÉ ÚDAJE</w:t>
      </w:r>
    </w:p>
    <w:p w14:paraId="034B8D56" w14:textId="77777777" w:rsidR="00B0786F" w:rsidRPr="00962410" w:rsidRDefault="00B078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962410" w:rsidRDefault="00C605FD" w:rsidP="00B13B6D">
      <w:pPr>
        <w:pStyle w:val="Style1"/>
      </w:pPr>
      <w:r w:rsidRPr="00962410">
        <w:t>5.1</w:t>
      </w:r>
      <w:r w:rsidRPr="00962410">
        <w:tab/>
        <w:t>Hlavní inkompatibility</w:t>
      </w:r>
    </w:p>
    <w:p w14:paraId="15C29130" w14:textId="77777777" w:rsidR="00C114FF" w:rsidRPr="0096241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8F0D5C" w14:textId="4400831A" w:rsidR="00C114FF" w:rsidRPr="00962410" w:rsidRDefault="00B0786F" w:rsidP="00A9226B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Neuplatňuje se.</w:t>
      </w:r>
    </w:p>
    <w:p w14:paraId="70234EFD" w14:textId="77777777" w:rsidR="00B0786F" w:rsidRPr="00962410" w:rsidRDefault="00B078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962410" w:rsidRDefault="00C605FD" w:rsidP="00B13B6D">
      <w:pPr>
        <w:pStyle w:val="Style1"/>
      </w:pPr>
      <w:r w:rsidRPr="00962410">
        <w:t>5.2</w:t>
      </w:r>
      <w:r w:rsidRPr="00962410">
        <w:tab/>
        <w:t>Doba použitelnosti</w:t>
      </w:r>
    </w:p>
    <w:p w14:paraId="100B6613" w14:textId="77777777" w:rsidR="00C114FF" w:rsidRPr="0096241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D9C987" w14:textId="6CE96116" w:rsidR="00C114FF" w:rsidRPr="00962410" w:rsidRDefault="00B0786F" w:rsidP="00A9226B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 xml:space="preserve">Doba použitelnosti veterinárního léčivého přípravku v neporušeném obalu: </w:t>
      </w:r>
      <w:r w:rsidR="00C33D04" w:rsidRPr="00962410">
        <w:rPr>
          <w:szCs w:val="22"/>
        </w:rPr>
        <w:t>3 </w:t>
      </w:r>
      <w:r w:rsidRPr="00962410">
        <w:rPr>
          <w:szCs w:val="22"/>
        </w:rPr>
        <w:t>roky.</w:t>
      </w:r>
    </w:p>
    <w:p w14:paraId="06AB89DD" w14:textId="77777777" w:rsidR="00B0786F" w:rsidRPr="00962410" w:rsidRDefault="00B078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962410" w:rsidRDefault="00C605FD" w:rsidP="00B13B6D">
      <w:pPr>
        <w:pStyle w:val="Style1"/>
      </w:pPr>
      <w:r w:rsidRPr="00962410">
        <w:t>5.3</w:t>
      </w:r>
      <w:r w:rsidRPr="00962410">
        <w:tab/>
        <w:t>Zvláštní opatření pro uchovávání</w:t>
      </w:r>
    </w:p>
    <w:p w14:paraId="7826F268" w14:textId="77777777" w:rsidR="00C114FF" w:rsidRPr="0096241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A4A8C" w14:textId="645C7D60" w:rsidR="00C114FF" w:rsidRPr="00962410" w:rsidRDefault="00B0786F" w:rsidP="00A9226B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Uchovávejte blistr v krabičce, aby byl chráněn před světlem.</w:t>
      </w:r>
    </w:p>
    <w:p w14:paraId="5A7405C4" w14:textId="77777777" w:rsidR="00B0786F" w:rsidRPr="00962410" w:rsidRDefault="00B078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962410" w:rsidRDefault="00C605FD" w:rsidP="00B13B6D">
      <w:pPr>
        <w:pStyle w:val="Style1"/>
      </w:pPr>
      <w:r w:rsidRPr="00962410">
        <w:t>5.4</w:t>
      </w:r>
      <w:r w:rsidRPr="00962410">
        <w:tab/>
        <w:t>Druh a složení vnitřního obalu</w:t>
      </w:r>
    </w:p>
    <w:p w14:paraId="651998C4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146541F2" w14:textId="7D168C84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30 tablet v kartónové krabičce obsahující 1 hliníkový/PVC strip s 30 tabletami.</w:t>
      </w:r>
    </w:p>
    <w:p w14:paraId="0B9FA9F9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60 tablet v kartónové krabičce obsahující 2 hliníkové/PVC stripy, každý strip s 30 tabletami.</w:t>
      </w:r>
    </w:p>
    <w:p w14:paraId="07486CC2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120 tablet v kartónové krabičce obsahující 4 hliníkové/PVC stripy, každý strip s 30 tabletami.</w:t>
      </w:r>
    </w:p>
    <w:p w14:paraId="008103E8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150 tablet v kartónové krabičce obsahující 5 hliníkových/PVC stripů, každý strip s 30 tabletami.</w:t>
      </w:r>
    </w:p>
    <w:p w14:paraId="707F7BF3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300 tablet v kartónové krabičce obsahující 10 hliníkových/PVC stripů, každý strip s 30 tabletami.</w:t>
      </w:r>
    </w:p>
    <w:p w14:paraId="65C2FA9C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584B339F" w14:textId="04151641" w:rsidR="00C114F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Na trhu nemusí být všechny velikosti balení.</w:t>
      </w:r>
    </w:p>
    <w:p w14:paraId="7916DC83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962410" w:rsidRDefault="00C605FD" w:rsidP="00B13B6D">
      <w:pPr>
        <w:pStyle w:val="Style1"/>
      </w:pPr>
      <w:r w:rsidRPr="00962410">
        <w:t>5.5</w:t>
      </w:r>
      <w:r w:rsidRPr="00962410">
        <w:tab/>
        <w:t xml:space="preserve">Zvláštní opatření pro </w:t>
      </w:r>
      <w:r w:rsidR="00CF069C" w:rsidRPr="00962410">
        <w:t xml:space="preserve">likvidaci </w:t>
      </w:r>
      <w:r w:rsidRPr="00962410">
        <w:t>nepoužit</w:t>
      </w:r>
      <w:r w:rsidR="002F64C6" w:rsidRPr="00962410">
        <w:t>ých</w:t>
      </w:r>
      <w:r w:rsidR="00905CAB" w:rsidRPr="00962410">
        <w:t xml:space="preserve"> </w:t>
      </w:r>
      <w:r w:rsidRPr="00962410">
        <w:t>veterinární</w:t>
      </w:r>
      <w:r w:rsidR="002F64C6" w:rsidRPr="00962410">
        <w:t>ch</w:t>
      </w:r>
      <w:r w:rsidRPr="00962410">
        <w:t xml:space="preserve"> léčiv</w:t>
      </w:r>
      <w:r w:rsidR="002F64C6" w:rsidRPr="00962410">
        <w:t>ých</w:t>
      </w:r>
      <w:r w:rsidRPr="00962410">
        <w:t xml:space="preserve"> přípravk</w:t>
      </w:r>
      <w:r w:rsidR="002F64C6" w:rsidRPr="00962410">
        <w:t>ů</w:t>
      </w:r>
      <w:r w:rsidRPr="00962410">
        <w:t xml:space="preserve"> nebo odpad</w:t>
      </w:r>
      <w:r w:rsidR="00F84AED" w:rsidRPr="00962410">
        <w:t>ů</w:t>
      </w:r>
      <w:r w:rsidR="00B36E65" w:rsidRPr="00962410">
        <w:t>, kter</w:t>
      </w:r>
      <w:r w:rsidR="00F84AED" w:rsidRPr="00962410">
        <w:t>é</w:t>
      </w:r>
      <w:r w:rsidRPr="00962410">
        <w:t xml:space="preserve"> pocház</w:t>
      </w:r>
      <w:r w:rsidR="00B36E65" w:rsidRPr="00962410">
        <w:t>í</w:t>
      </w:r>
      <w:r w:rsidRPr="00962410">
        <w:t xml:space="preserve"> z</w:t>
      </w:r>
      <w:r w:rsidR="002F64C6" w:rsidRPr="00962410">
        <w:t> </w:t>
      </w:r>
      <w:r w:rsidRPr="00962410">
        <w:t>t</w:t>
      </w:r>
      <w:r w:rsidR="002F64C6" w:rsidRPr="00962410">
        <w:t xml:space="preserve">ěchto </w:t>
      </w:r>
      <w:r w:rsidRPr="00962410">
        <w:t>přípravk</w:t>
      </w:r>
      <w:r w:rsidR="002F64C6" w:rsidRPr="00962410">
        <w:t>ů</w:t>
      </w:r>
    </w:p>
    <w:p w14:paraId="4E04C78C" w14:textId="77777777" w:rsidR="00C114FF" w:rsidRPr="0096241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C94BBD" w14:textId="4F32C9EF" w:rsidR="00C33D04" w:rsidRPr="00962410" w:rsidRDefault="00C33D04" w:rsidP="00C33D04">
      <w:pPr>
        <w:rPr>
          <w:szCs w:val="22"/>
        </w:rPr>
      </w:pPr>
      <w:r w:rsidRPr="00962410">
        <w:t>Léčivé přípravky se nesmí likvidovat prostřednictvím odpadní vody či domovního odpadu.</w:t>
      </w:r>
    </w:p>
    <w:p w14:paraId="656B5F5C" w14:textId="77777777" w:rsidR="00C33D04" w:rsidRPr="00962410" w:rsidRDefault="00C33D04" w:rsidP="00C33D04">
      <w:pPr>
        <w:tabs>
          <w:tab w:val="clear" w:pos="567"/>
        </w:tabs>
        <w:spacing w:line="240" w:lineRule="auto"/>
        <w:rPr>
          <w:szCs w:val="22"/>
        </w:rPr>
      </w:pPr>
    </w:p>
    <w:p w14:paraId="6D6924CE" w14:textId="7279C6E6" w:rsidR="00B0786F" w:rsidRPr="00962410" w:rsidRDefault="00C33D04" w:rsidP="00A9226B">
      <w:pPr>
        <w:tabs>
          <w:tab w:val="clear" w:pos="567"/>
        </w:tabs>
        <w:spacing w:line="240" w:lineRule="auto"/>
        <w:rPr>
          <w:szCs w:val="22"/>
        </w:rPr>
      </w:pPr>
      <w:r w:rsidRPr="00962410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5B938DEB" w14:textId="44153D29" w:rsidR="00B0786F" w:rsidRDefault="00B078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D82F5F" w14:textId="77777777" w:rsidR="00D3387C" w:rsidRPr="00962410" w:rsidRDefault="00D3387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962410" w:rsidRDefault="00C605FD" w:rsidP="00B13B6D">
      <w:pPr>
        <w:pStyle w:val="Style1"/>
      </w:pPr>
      <w:r w:rsidRPr="00962410">
        <w:t>6.</w:t>
      </w:r>
      <w:r w:rsidRPr="00962410">
        <w:tab/>
        <w:t>JMÉNO DRŽITELE ROZHODNUTÍ O REGISTRACI</w:t>
      </w:r>
    </w:p>
    <w:p w14:paraId="2E652F1A" w14:textId="77777777" w:rsidR="00C114FF" w:rsidRPr="0096241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1873E7" w14:textId="123BE200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Le Vet</w:t>
      </w:r>
      <w:r w:rsidR="00940726">
        <w:rPr>
          <w:szCs w:val="22"/>
        </w:rPr>
        <w:t>.</w:t>
      </w:r>
      <w:r w:rsidRPr="00962410">
        <w:rPr>
          <w:szCs w:val="22"/>
        </w:rPr>
        <w:t xml:space="preserve"> Beheer B.V.</w:t>
      </w:r>
    </w:p>
    <w:p w14:paraId="7B33BC54" w14:textId="77777777" w:rsidR="00D3387C" w:rsidRPr="00962410" w:rsidRDefault="00D3387C" w:rsidP="00B0786F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962410" w:rsidRDefault="00C605FD" w:rsidP="00B13B6D">
      <w:pPr>
        <w:pStyle w:val="Style1"/>
      </w:pPr>
      <w:r w:rsidRPr="00962410">
        <w:t>7.</w:t>
      </w:r>
      <w:r w:rsidRPr="00962410">
        <w:tab/>
        <w:t>REGISTRAČNÍ ČÍSLO(A)</w:t>
      </w:r>
    </w:p>
    <w:p w14:paraId="1FA2C56F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1BEAE31D" w:rsidR="00C114FF" w:rsidRPr="00962410" w:rsidRDefault="00B0786F" w:rsidP="00A9226B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96/042/14-C</w:t>
      </w:r>
    </w:p>
    <w:p w14:paraId="2CA1DDE4" w14:textId="77777777" w:rsidR="00B0786F" w:rsidRPr="00962410" w:rsidRDefault="00B078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DA87C" w14:textId="77777777" w:rsidR="006764C6" w:rsidRPr="00962410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962410" w:rsidRDefault="00C605FD" w:rsidP="00B13B6D">
      <w:pPr>
        <w:pStyle w:val="Style1"/>
      </w:pPr>
      <w:r w:rsidRPr="00962410">
        <w:t>8.</w:t>
      </w:r>
      <w:r w:rsidRPr="00962410">
        <w:tab/>
        <w:t>DATUM PRVNÍ REGISTRACE</w:t>
      </w:r>
    </w:p>
    <w:p w14:paraId="3863C575" w14:textId="77777777" w:rsidR="00C114FF" w:rsidRPr="0096241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6207DA" w14:textId="1D4AB58C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 xml:space="preserve">Datum </w:t>
      </w:r>
      <w:r w:rsidR="00306372" w:rsidRPr="00962410">
        <w:rPr>
          <w:szCs w:val="22"/>
        </w:rPr>
        <w:t xml:space="preserve">první </w:t>
      </w:r>
      <w:r w:rsidRPr="00962410">
        <w:rPr>
          <w:szCs w:val="22"/>
        </w:rPr>
        <w:t>registrace: 25. 6. 2014</w:t>
      </w:r>
    </w:p>
    <w:p w14:paraId="2F7B9DC9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07047872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962410" w:rsidRDefault="00C605FD" w:rsidP="00B13B6D">
      <w:pPr>
        <w:pStyle w:val="Style1"/>
      </w:pPr>
      <w:r w:rsidRPr="00962410">
        <w:t>9.</w:t>
      </w:r>
      <w:r w:rsidRPr="00962410">
        <w:tab/>
        <w:t>DATUM POSLEDNÍ AKTUALIZACE SOUHRNU ÚDAJŮ O PŘÍPRAVKU</w:t>
      </w:r>
    </w:p>
    <w:p w14:paraId="30326986" w14:textId="77777777" w:rsidR="00C114FF" w:rsidRPr="00962410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EA54AB" w14:textId="20D8FC40" w:rsidR="00F036F4" w:rsidRDefault="00FD62D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A10190">
        <w:rPr>
          <w:szCs w:val="22"/>
        </w:rPr>
        <w:t>8</w:t>
      </w:r>
      <w:r>
        <w:rPr>
          <w:szCs w:val="22"/>
        </w:rPr>
        <w:t>/2025</w:t>
      </w:r>
    </w:p>
    <w:p w14:paraId="3F51F9DE" w14:textId="77777777" w:rsidR="00A10190" w:rsidRPr="00962410" w:rsidRDefault="00A10190" w:rsidP="00A9226B">
      <w:pPr>
        <w:tabs>
          <w:tab w:val="clear" w:pos="567"/>
        </w:tabs>
        <w:spacing w:line="240" w:lineRule="auto"/>
        <w:rPr>
          <w:szCs w:val="22"/>
        </w:rPr>
      </w:pPr>
      <w:bookmarkStart w:id="1" w:name="_GoBack"/>
      <w:bookmarkEnd w:id="1"/>
    </w:p>
    <w:p w14:paraId="2DB0E157" w14:textId="77777777" w:rsidR="00B113B9" w:rsidRPr="00962410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962410" w:rsidRDefault="00C605FD" w:rsidP="00B13B6D">
      <w:pPr>
        <w:pStyle w:val="Style1"/>
      </w:pPr>
      <w:r w:rsidRPr="00962410">
        <w:t>10.</w:t>
      </w:r>
      <w:r w:rsidRPr="00962410">
        <w:tab/>
        <w:t>KLASIFIKACE VETERINÁRNÍCH LÉČIVÝCH PŘÍPRAVKŮ</w:t>
      </w:r>
    </w:p>
    <w:p w14:paraId="184E2FDA" w14:textId="77777777" w:rsidR="00B0786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</w:p>
    <w:p w14:paraId="1F12B426" w14:textId="0A8E7BA4" w:rsidR="0078538F" w:rsidRPr="00962410" w:rsidRDefault="00B0786F" w:rsidP="00B0786F">
      <w:pPr>
        <w:tabs>
          <w:tab w:val="clear" w:pos="567"/>
        </w:tabs>
        <w:spacing w:line="240" w:lineRule="auto"/>
        <w:rPr>
          <w:szCs w:val="22"/>
        </w:rPr>
      </w:pPr>
      <w:r w:rsidRPr="00962410">
        <w:rPr>
          <w:szCs w:val="22"/>
        </w:rPr>
        <w:t>Veterinární léčivý přípravek je vydáván pouze na předpis.</w:t>
      </w:r>
    </w:p>
    <w:p w14:paraId="03BD9079" w14:textId="77777777" w:rsidR="00306372" w:rsidRPr="00962410" w:rsidRDefault="00306372" w:rsidP="00B0786F">
      <w:pPr>
        <w:tabs>
          <w:tab w:val="clear" w:pos="567"/>
        </w:tabs>
        <w:spacing w:line="240" w:lineRule="auto"/>
        <w:rPr>
          <w:szCs w:val="22"/>
        </w:rPr>
      </w:pPr>
    </w:p>
    <w:p w14:paraId="216B5F29" w14:textId="7E37D447" w:rsidR="00306372" w:rsidRDefault="00306372" w:rsidP="00CD1365">
      <w:pPr>
        <w:ind w:right="-318"/>
        <w:rPr>
          <w:i/>
          <w:szCs w:val="22"/>
        </w:rPr>
      </w:pPr>
      <w:bookmarkStart w:id="2" w:name="_Hlk73467306"/>
      <w:r w:rsidRPr="00962410">
        <w:t xml:space="preserve">Podrobné informace o tomto veterinárním léčivém přípravku jsou k dispozici v databázi přípravků Unie </w:t>
      </w:r>
      <w:r w:rsidRPr="00962410">
        <w:rPr>
          <w:szCs w:val="22"/>
        </w:rPr>
        <w:t>(</w:t>
      </w:r>
      <w:hyperlink r:id="rId8" w:history="1">
        <w:r w:rsidRPr="00962410">
          <w:rPr>
            <w:rStyle w:val="Hypertextovodkaz"/>
            <w:szCs w:val="22"/>
          </w:rPr>
          <w:t>https://medicines.health.europa.eu/veterinary</w:t>
        </w:r>
      </w:hyperlink>
      <w:r w:rsidRPr="00962410">
        <w:rPr>
          <w:szCs w:val="22"/>
        </w:rPr>
        <w:t>)</w:t>
      </w:r>
      <w:r w:rsidRPr="00962410">
        <w:rPr>
          <w:i/>
          <w:szCs w:val="22"/>
        </w:rPr>
        <w:t>.</w:t>
      </w:r>
      <w:bookmarkEnd w:id="2"/>
    </w:p>
    <w:p w14:paraId="3ED7B2EF" w14:textId="73F86080" w:rsidR="00FD62D6" w:rsidRDefault="00FD62D6" w:rsidP="00CD1365">
      <w:pPr>
        <w:ind w:right="-318"/>
        <w:rPr>
          <w:szCs w:val="22"/>
        </w:rPr>
      </w:pPr>
    </w:p>
    <w:p w14:paraId="469BE313" w14:textId="77777777" w:rsidR="00FD62D6" w:rsidRPr="00C672C7" w:rsidRDefault="00FD62D6" w:rsidP="00FD62D6">
      <w:pPr>
        <w:spacing w:line="240" w:lineRule="auto"/>
      </w:pPr>
      <w:bookmarkStart w:id="3" w:name="_Hlk148432335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3"/>
    <w:p w14:paraId="1A9AFB00" w14:textId="77777777" w:rsidR="00FD62D6" w:rsidRPr="00962410" w:rsidRDefault="00FD62D6" w:rsidP="00CD1365">
      <w:pPr>
        <w:ind w:right="-318"/>
        <w:rPr>
          <w:szCs w:val="22"/>
        </w:rPr>
      </w:pPr>
    </w:p>
    <w:p w14:paraId="72BBFD3F" w14:textId="77777777" w:rsidR="005F346D" w:rsidRPr="00962410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962410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7FE4E" w14:textId="77777777" w:rsidR="00A11C8A" w:rsidRDefault="00A11C8A">
      <w:pPr>
        <w:spacing w:line="240" w:lineRule="auto"/>
      </w:pPr>
      <w:r>
        <w:separator/>
      </w:r>
    </w:p>
  </w:endnote>
  <w:endnote w:type="continuationSeparator" w:id="0">
    <w:p w14:paraId="6A54BBCF" w14:textId="77777777" w:rsidR="00A11C8A" w:rsidRDefault="00A11C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E3877" w14:textId="77777777" w:rsidR="00A11C8A" w:rsidRDefault="00A11C8A">
      <w:pPr>
        <w:spacing w:line="240" w:lineRule="auto"/>
      </w:pPr>
      <w:r>
        <w:separator/>
      </w:r>
    </w:p>
  </w:footnote>
  <w:footnote w:type="continuationSeparator" w:id="0">
    <w:p w14:paraId="27124409" w14:textId="77777777" w:rsidR="00A11C8A" w:rsidRDefault="00A11C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6E7F0" w14:textId="219633CB" w:rsidR="00D0037A" w:rsidRDefault="00D0037A" w:rsidP="00D0037A">
    <w:r>
      <w:t xml:space="preserve">  </w:t>
    </w:r>
  </w:p>
  <w:p w14:paraId="7488A12D" w14:textId="77777777" w:rsidR="00D0037A" w:rsidRDefault="00D003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317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6D68"/>
    <w:rsid w:val="000E705A"/>
    <w:rsid w:val="000F38DA"/>
    <w:rsid w:val="000F5822"/>
    <w:rsid w:val="000F796B"/>
    <w:rsid w:val="0010031E"/>
    <w:rsid w:val="001012EB"/>
    <w:rsid w:val="00102F3C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3E52"/>
    <w:rsid w:val="00136AE8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B4A"/>
    <w:rsid w:val="001A0E2C"/>
    <w:rsid w:val="001A1238"/>
    <w:rsid w:val="001A28C9"/>
    <w:rsid w:val="001A34BC"/>
    <w:rsid w:val="001A56A7"/>
    <w:rsid w:val="001A621E"/>
    <w:rsid w:val="001B1C77"/>
    <w:rsid w:val="001B26EB"/>
    <w:rsid w:val="001B6F4A"/>
    <w:rsid w:val="001B7B38"/>
    <w:rsid w:val="001C053A"/>
    <w:rsid w:val="001C5288"/>
    <w:rsid w:val="001C5B03"/>
    <w:rsid w:val="001C74EE"/>
    <w:rsid w:val="001D4CE4"/>
    <w:rsid w:val="001D584D"/>
    <w:rsid w:val="001D6052"/>
    <w:rsid w:val="001D6D96"/>
    <w:rsid w:val="001E5621"/>
    <w:rsid w:val="001E5CC3"/>
    <w:rsid w:val="001F0236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660"/>
    <w:rsid w:val="00213890"/>
    <w:rsid w:val="00214E52"/>
    <w:rsid w:val="002207C0"/>
    <w:rsid w:val="0022380D"/>
    <w:rsid w:val="00224B93"/>
    <w:rsid w:val="00226630"/>
    <w:rsid w:val="00233D66"/>
    <w:rsid w:val="0023676E"/>
    <w:rsid w:val="00241336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0064"/>
    <w:rsid w:val="00265656"/>
    <w:rsid w:val="00265E77"/>
    <w:rsid w:val="00266155"/>
    <w:rsid w:val="0027270B"/>
    <w:rsid w:val="00272B36"/>
    <w:rsid w:val="00274D17"/>
    <w:rsid w:val="00282E7B"/>
    <w:rsid w:val="002838C8"/>
    <w:rsid w:val="00285B12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173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6372"/>
    <w:rsid w:val="00307BFC"/>
    <w:rsid w:val="00307EB2"/>
    <w:rsid w:val="0031032B"/>
    <w:rsid w:val="00312B87"/>
    <w:rsid w:val="00316E87"/>
    <w:rsid w:val="0032260F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56D"/>
    <w:rsid w:val="00393E09"/>
    <w:rsid w:val="00395B15"/>
    <w:rsid w:val="00396026"/>
    <w:rsid w:val="003A31B9"/>
    <w:rsid w:val="003A3E2F"/>
    <w:rsid w:val="003A6CCB"/>
    <w:rsid w:val="003B0F22"/>
    <w:rsid w:val="003B10C4"/>
    <w:rsid w:val="003B3621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E6F05"/>
    <w:rsid w:val="003F0BC8"/>
    <w:rsid w:val="003F0D6C"/>
    <w:rsid w:val="003F0F26"/>
    <w:rsid w:val="003F12D9"/>
    <w:rsid w:val="003F1B4C"/>
    <w:rsid w:val="003F3CE6"/>
    <w:rsid w:val="003F677F"/>
    <w:rsid w:val="004008F6"/>
    <w:rsid w:val="004030E0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4B8A"/>
    <w:rsid w:val="00536031"/>
    <w:rsid w:val="005362B4"/>
    <w:rsid w:val="0054134B"/>
    <w:rsid w:val="00542012"/>
    <w:rsid w:val="00543DF5"/>
    <w:rsid w:val="00545A61"/>
    <w:rsid w:val="0055260D"/>
    <w:rsid w:val="00555422"/>
    <w:rsid w:val="00555810"/>
    <w:rsid w:val="00561B4E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7BB8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025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1575"/>
    <w:rsid w:val="0062387A"/>
    <w:rsid w:val="006326D8"/>
    <w:rsid w:val="0063377D"/>
    <w:rsid w:val="006344BE"/>
    <w:rsid w:val="00634A66"/>
    <w:rsid w:val="0063737A"/>
    <w:rsid w:val="00640336"/>
    <w:rsid w:val="00640FC9"/>
    <w:rsid w:val="006414D3"/>
    <w:rsid w:val="006432F2"/>
    <w:rsid w:val="0065320F"/>
    <w:rsid w:val="00653D64"/>
    <w:rsid w:val="00654E13"/>
    <w:rsid w:val="00663C2A"/>
    <w:rsid w:val="00667489"/>
    <w:rsid w:val="00670D44"/>
    <w:rsid w:val="00673F4C"/>
    <w:rsid w:val="006764C6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054E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2EAE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0F6"/>
    <w:rsid w:val="007C796D"/>
    <w:rsid w:val="007D3AAE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0FD3"/>
    <w:rsid w:val="00852FF2"/>
    <w:rsid w:val="008530E7"/>
    <w:rsid w:val="00856BDB"/>
    <w:rsid w:val="00857675"/>
    <w:rsid w:val="00861F86"/>
    <w:rsid w:val="00867C0D"/>
    <w:rsid w:val="00872C48"/>
    <w:rsid w:val="008742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626D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0130"/>
    <w:rsid w:val="00903D0D"/>
    <w:rsid w:val="009048E1"/>
    <w:rsid w:val="0090598C"/>
    <w:rsid w:val="00905CAB"/>
    <w:rsid w:val="009071BB"/>
    <w:rsid w:val="00907749"/>
    <w:rsid w:val="00913885"/>
    <w:rsid w:val="00915ABF"/>
    <w:rsid w:val="0091692B"/>
    <w:rsid w:val="00921CAD"/>
    <w:rsid w:val="009311ED"/>
    <w:rsid w:val="00931D41"/>
    <w:rsid w:val="00932195"/>
    <w:rsid w:val="00933D18"/>
    <w:rsid w:val="00940726"/>
    <w:rsid w:val="00942221"/>
    <w:rsid w:val="00950FBB"/>
    <w:rsid w:val="00951118"/>
    <w:rsid w:val="0095122F"/>
    <w:rsid w:val="00953349"/>
    <w:rsid w:val="00953E4C"/>
    <w:rsid w:val="00954E0C"/>
    <w:rsid w:val="00961156"/>
    <w:rsid w:val="00962410"/>
    <w:rsid w:val="00964F03"/>
    <w:rsid w:val="00965D6F"/>
    <w:rsid w:val="00966B16"/>
    <w:rsid w:val="00966F1F"/>
    <w:rsid w:val="00975676"/>
    <w:rsid w:val="00976467"/>
    <w:rsid w:val="00976D32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462"/>
    <w:rsid w:val="009C2E47"/>
    <w:rsid w:val="009C6BFB"/>
    <w:rsid w:val="009D0C05"/>
    <w:rsid w:val="009D6AA7"/>
    <w:rsid w:val="009E24B7"/>
    <w:rsid w:val="009E2C00"/>
    <w:rsid w:val="009E49AD"/>
    <w:rsid w:val="009E4CC5"/>
    <w:rsid w:val="009E66FE"/>
    <w:rsid w:val="009E70F4"/>
    <w:rsid w:val="009E72A3"/>
    <w:rsid w:val="009F0A6B"/>
    <w:rsid w:val="009F1AD2"/>
    <w:rsid w:val="00A00C78"/>
    <w:rsid w:val="00A0479E"/>
    <w:rsid w:val="00A07979"/>
    <w:rsid w:val="00A10190"/>
    <w:rsid w:val="00A11755"/>
    <w:rsid w:val="00A11C8A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5218"/>
    <w:rsid w:val="00A60351"/>
    <w:rsid w:val="00A61C6D"/>
    <w:rsid w:val="00A63015"/>
    <w:rsid w:val="00A6387B"/>
    <w:rsid w:val="00A63DB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055"/>
    <w:rsid w:val="00AE35B2"/>
    <w:rsid w:val="00AE6AA0"/>
    <w:rsid w:val="00AF406C"/>
    <w:rsid w:val="00AF45ED"/>
    <w:rsid w:val="00B00CA4"/>
    <w:rsid w:val="00B02195"/>
    <w:rsid w:val="00B075D6"/>
    <w:rsid w:val="00B0786F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2BAB"/>
    <w:rsid w:val="00B93E4C"/>
    <w:rsid w:val="00B94A1B"/>
    <w:rsid w:val="00B9784D"/>
    <w:rsid w:val="00BA5C89"/>
    <w:rsid w:val="00BA7BF6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E4FE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3D04"/>
    <w:rsid w:val="00C341E6"/>
    <w:rsid w:val="00C34260"/>
    <w:rsid w:val="00C36883"/>
    <w:rsid w:val="00C40928"/>
    <w:rsid w:val="00C40CFF"/>
    <w:rsid w:val="00C42697"/>
    <w:rsid w:val="00C43F01"/>
    <w:rsid w:val="00C45EE9"/>
    <w:rsid w:val="00C47552"/>
    <w:rsid w:val="00C56F31"/>
    <w:rsid w:val="00C57A81"/>
    <w:rsid w:val="00C60193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B0616"/>
    <w:rsid w:val="00CC0D27"/>
    <w:rsid w:val="00CC1E65"/>
    <w:rsid w:val="00CC567A"/>
    <w:rsid w:val="00CD1365"/>
    <w:rsid w:val="00CD4059"/>
    <w:rsid w:val="00CD4E5A"/>
    <w:rsid w:val="00CD6AFD"/>
    <w:rsid w:val="00CE03CE"/>
    <w:rsid w:val="00CE0F5D"/>
    <w:rsid w:val="00CE1A6A"/>
    <w:rsid w:val="00CF069C"/>
    <w:rsid w:val="00CF0DFF"/>
    <w:rsid w:val="00D0037A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387C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28A0"/>
    <w:rsid w:val="00D74018"/>
    <w:rsid w:val="00D83661"/>
    <w:rsid w:val="00D87034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3CA"/>
    <w:rsid w:val="00E124D3"/>
    <w:rsid w:val="00E1267F"/>
    <w:rsid w:val="00E14C47"/>
    <w:rsid w:val="00E22698"/>
    <w:rsid w:val="00E24B66"/>
    <w:rsid w:val="00E25B7C"/>
    <w:rsid w:val="00E3076B"/>
    <w:rsid w:val="00E33224"/>
    <w:rsid w:val="00E3725B"/>
    <w:rsid w:val="00E41B38"/>
    <w:rsid w:val="00E434D1"/>
    <w:rsid w:val="00E5173F"/>
    <w:rsid w:val="00E56CBB"/>
    <w:rsid w:val="00E579A6"/>
    <w:rsid w:val="00E61950"/>
    <w:rsid w:val="00E61E51"/>
    <w:rsid w:val="00E6552A"/>
    <w:rsid w:val="00E65731"/>
    <w:rsid w:val="00E6676D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86CF0"/>
    <w:rsid w:val="00E901F8"/>
    <w:rsid w:val="00E935AF"/>
    <w:rsid w:val="00EB024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36F4"/>
    <w:rsid w:val="00F0448F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3494"/>
    <w:rsid w:val="00F84672"/>
    <w:rsid w:val="00F84802"/>
    <w:rsid w:val="00F84AED"/>
    <w:rsid w:val="00F93291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1037"/>
    <w:rsid w:val="00FC1346"/>
    <w:rsid w:val="00FC752C"/>
    <w:rsid w:val="00FD0492"/>
    <w:rsid w:val="00FD13EC"/>
    <w:rsid w:val="00FD1E45"/>
    <w:rsid w:val="00FD4DA8"/>
    <w:rsid w:val="00FD4EEF"/>
    <w:rsid w:val="00FD5461"/>
    <w:rsid w:val="00FD62D6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9624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61DA3-1261-49A5-B78E-A907B83D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1753</Words>
  <Characters>10349</Characters>
  <Application>Microsoft Office Word</Application>
  <DocSecurity>0</DocSecurity>
  <Lines>86</Lines>
  <Paragraphs>24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33</cp:revision>
  <cp:lastPrinted>2025-08-13T10:29:00Z</cp:lastPrinted>
  <dcterms:created xsi:type="dcterms:W3CDTF">2025-03-04T07:18:00Z</dcterms:created>
  <dcterms:modified xsi:type="dcterms:W3CDTF">2025-08-13T10:29:00Z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