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51F6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51F6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51F6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1B1CF524" w:rsidR="00C114FF" w:rsidRPr="007216B3" w:rsidRDefault="007216B3" w:rsidP="007216B3">
      <w:pPr>
        <w:ind w:left="143"/>
        <w:rPr>
          <w:szCs w:val="22"/>
        </w:rPr>
      </w:pPr>
      <w:proofErr w:type="spellStart"/>
      <w:r w:rsidRPr="007216B3">
        <w:rPr>
          <w:color w:val="181618"/>
          <w:w w:val="110"/>
          <w:szCs w:val="22"/>
        </w:rPr>
        <w:t>Noromectin</w:t>
      </w:r>
      <w:proofErr w:type="spellEnd"/>
      <w:r w:rsidRPr="007216B3">
        <w:rPr>
          <w:color w:val="181618"/>
          <w:spacing w:val="13"/>
          <w:w w:val="110"/>
          <w:szCs w:val="22"/>
        </w:rPr>
        <w:t xml:space="preserve"> </w:t>
      </w:r>
      <w:proofErr w:type="spellStart"/>
      <w:r w:rsidRPr="007216B3">
        <w:rPr>
          <w:color w:val="181618"/>
          <w:w w:val="110"/>
          <w:szCs w:val="22"/>
        </w:rPr>
        <w:t>Praziquantel</w:t>
      </w:r>
      <w:proofErr w:type="spellEnd"/>
      <w:r w:rsidRPr="007216B3">
        <w:rPr>
          <w:color w:val="181618"/>
          <w:spacing w:val="14"/>
          <w:w w:val="110"/>
          <w:szCs w:val="22"/>
        </w:rPr>
        <w:t xml:space="preserve"> </w:t>
      </w:r>
      <w:r w:rsidRPr="007216B3">
        <w:rPr>
          <w:color w:val="181618"/>
          <w:w w:val="110"/>
          <w:szCs w:val="22"/>
        </w:rPr>
        <w:t>Duo,</w:t>
      </w:r>
      <w:r w:rsidRPr="007216B3">
        <w:rPr>
          <w:color w:val="181618"/>
          <w:spacing w:val="-16"/>
          <w:w w:val="110"/>
          <w:szCs w:val="22"/>
        </w:rPr>
        <w:t xml:space="preserve"> </w:t>
      </w:r>
      <w:r w:rsidRPr="007216B3">
        <w:rPr>
          <w:color w:val="181618"/>
          <w:w w:val="110"/>
          <w:szCs w:val="22"/>
        </w:rPr>
        <w:t>18,7</w:t>
      </w:r>
      <w:r w:rsidRPr="007216B3">
        <w:rPr>
          <w:color w:val="181618"/>
          <w:spacing w:val="8"/>
          <w:w w:val="110"/>
          <w:szCs w:val="22"/>
        </w:rPr>
        <w:t xml:space="preserve"> </w:t>
      </w:r>
      <w:r w:rsidRPr="007216B3">
        <w:rPr>
          <w:color w:val="181618"/>
          <w:w w:val="110"/>
          <w:szCs w:val="22"/>
        </w:rPr>
        <w:t>mg/g</w:t>
      </w:r>
      <w:r w:rsidRPr="007216B3">
        <w:rPr>
          <w:color w:val="181618"/>
          <w:spacing w:val="-13"/>
          <w:w w:val="110"/>
          <w:szCs w:val="22"/>
        </w:rPr>
        <w:t xml:space="preserve"> </w:t>
      </w:r>
      <w:r w:rsidRPr="007216B3">
        <w:rPr>
          <w:color w:val="181618"/>
          <w:w w:val="110"/>
          <w:szCs w:val="22"/>
        </w:rPr>
        <w:t>+</w:t>
      </w:r>
      <w:r w:rsidRPr="007216B3">
        <w:rPr>
          <w:color w:val="181618"/>
          <w:spacing w:val="-40"/>
          <w:w w:val="110"/>
          <w:szCs w:val="22"/>
        </w:rPr>
        <w:t xml:space="preserve"> </w:t>
      </w:r>
      <w:r w:rsidRPr="007216B3">
        <w:rPr>
          <w:color w:val="181618"/>
          <w:w w:val="110"/>
          <w:szCs w:val="22"/>
        </w:rPr>
        <w:t>140,3</w:t>
      </w:r>
      <w:r w:rsidRPr="007216B3">
        <w:rPr>
          <w:color w:val="181618"/>
          <w:spacing w:val="1"/>
          <w:w w:val="110"/>
          <w:szCs w:val="22"/>
        </w:rPr>
        <w:t xml:space="preserve"> </w:t>
      </w:r>
      <w:r w:rsidRPr="007216B3">
        <w:rPr>
          <w:color w:val="181618"/>
          <w:w w:val="110"/>
          <w:szCs w:val="22"/>
        </w:rPr>
        <w:t>mg/g</w:t>
      </w:r>
      <w:r w:rsidRPr="007216B3">
        <w:rPr>
          <w:color w:val="181618"/>
          <w:spacing w:val="11"/>
          <w:w w:val="110"/>
          <w:szCs w:val="22"/>
        </w:rPr>
        <w:t xml:space="preserve"> </w:t>
      </w:r>
      <w:r w:rsidRPr="007216B3">
        <w:rPr>
          <w:color w:val="181618"/>
          <w:w w:val="110"/>
          <w:szCs w:val="22"/>
        </w:rPr>
        <w:t>perorální</w:t>
      </w:r>
      <w:r w:rsidRPr="007216B3">
        <w:rPr>
          <w:color w:val="181618"/>
          <w:spacing w:val="19"/>
          <w:w w:val="110"/>
          <w:szCs w:val="22"/>
        </w:rPr>
        <w:t xml:space="preserve"> </w:t>
      </w:r>
      <w:r w:rsidRPr="007216B3">
        <w:rPr>
          <w:color w:val="181618"/>
          <w:w w:val="110"/>
          <w:szCs w:val="22"/>
        </w:rPr>
        <w:t>pasta</w:t>
      </w:r>
      <w:r w:rsidRPr="007216B3">
        <w:rPr>
          <w:color w:val="181618"/>
          <w:spacing w:val="17"/>
          <w:w w:val="110"/>
          <w:szCs w:val="22"/>
        </w:rPr>
        <w:t xml:space="preserve"> </w:t>
      </w:r>
      <w:r w:rsidRPr="007216B3">
        <w:rPr>
          <w:color w:val="181618"/>
          <w:w w:val="110"/>
          <w:szCs w:val="22"/>
        </w:rPr>
        <w:t>pro</w:t>
      </w:r>
      <w:r w:rsidRPr="007216B3">
        <w:rPr>
          <w:color w:val="181618"/>
          <w:spacing w:val="7"/>
          <w:w w:val="110"/>
          <w:szCs w:val="22"/>
        </w:rPr>
        <w:t xml:space="preserve"> </w:t>
      </w:r>
      <w:r w:rsidRPr="007216B3">
        <w:rPr>
          <w:color w:val="181618"/>
          <w:spacing w:val="-4"/>
          <w:w w:val="110"/>
          <w:szCs w:val="22"/>
        </w:rPr>
        <w:t>kon</w:t>
      </w:r>
      <w:r w:rsidR="00F61FB7">
        <w:rPr>
          <w:color w:val="181618"/>
          <w:spacing w:val="-4"/>
          <w:w w:val="110"/>
          <w:szCs w:val="22"/>
        </w:rPr>
        <w:t>ě</w:t>
      </w:r>
    </w:p>
    <w:p w14:paraId="7245778A" w14:textId="24D2F9D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7952E" w14:textId="77777777" w:rsidR="009B4385" w:rsidRPr="00B41D57" w:rsidRDefault="009B43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51F6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5DBC884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572B7D" w14:textId="16C2642C" w:rsidR="00AF3EA0" w:rsidRDefault="00F61FB7" w:rsidP="00AF3EA0">
      <w:pPr>
        <w:rPr>
          <w:color w:val="181618"/>
          <w:spacing w:val="-2"/>
          <w:w w:val="115"/>
          <w:sz w:val="21"/>
        </w:rPr>
      </w:pPr>
      <w:r>
        <w:rPr>
          <w:color w:val="181618"/>
          <w:w w:val="115"/>
          <w:sz w:val="21"/>
        </w:rPr>
        <w:t>Každý</w:t>
      </w:r>
      <w:r w:rsidR="00AF3EA0">
        <w:rPr>
          <w:color w:val="181618"/>
          <w:spacing w:val="-3"/>
          <w:w w:val="115"/>
          <w:sz w:val="21"/>
        </w:rPr>
        <w:t xml:space="preserve"> </w:t>
      </w:r>
      <w:r w:rsidR="00AF3EA0">
        <w:rPr>
          <w:color w:val="181618"/>
          <w:w w:val="115"/>
          <w:sz w:val="21"/>
        </w:rPr>
        <w:t>gram</w:t>
      </w:r>
      <w:r w:rsidR="00AF3EA0">
        <w:rPr>
          <w:color w:val="181618"/>
          <w:spacing w:val="-2"/>
          <w:w w:val="115"/>
          <w:sz w:val="21"/>
        </w:rPr>
        <w:t xml:space="preserve"> obsahuje:</w:t>
      </w:r>
    </w:p>
    <w:p w14:paraId="0394850A" w14:textId="77777777" w:rsidR="00F61FB7" w:rsidRDefault="00F61FB7" w:rsidP="00AF3EA0">
      <w:pPr>
        <w:rPr>
          <w:color w:val="181618"/>
          <w:spacing w:val="-2"/>
          <w:w w:val="115"/>
          <w:sz w:val="21"/>
        </w:rPr>
      </w:pPr>
    </w:p>
    <w:p w14:paraId="53EDACB1" w14:textId="574DE935" w:rsidR="00F61FB7" w:rsidRDefault="00F61FB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3DE5137" w14:textId="0452BB1C" w:rsidR="00AF3EA0" w:rsidRDefault="00AF3EA0" w:rsidP="00A9226B">
      <w:pPr>
        <w:tabs>
          <w:tab w:val="clear" w:pos="567"/>
        </w:tabs>
        <w:spacing w:line="240" w:lineRule="auto"/>
        <w:rPr>
          <w:color w:val="181618"/>
          <w:spacing w:val="-2"/>
          <w:w w:val="110"/>
          <w:sz w:val="21"/>
        </w:rPr>
      </w:pPr>
      <w:proofErr w:type="spellStart"/>
      <w:r>
        <w:rPr>
          <w:color w:val="181618"/>
          <w:spacing w:val="-2"/>
          <w:w w:val="110"/>
          <w:sz w:val="21"/>
        </w:rPr>
        <w:t>Ivermectinum</w:t>
      </w:r>
      <w:proofErr w:type="spellEnd"/>
      <w:r>
        <w:rPr>
          <w:color w:val="181618"/>
          <w:spacing w:val="-2"/>
          <w:w w:val="110"/>
          <w:sz w:val="21"/>
        </w:rPr>
        <w:tab/>
      </w:r>
      <w:r>
        <w:rPr>
          <w:color w:val="181618"/>
          <w:spacing w:val="-2"/>
          <w:w w:val="110"/>
          <w:sz w:val="21"/>
        </w:rPr>
        <w:tab/>
        <w:t>18,7 mg</w:t>
      </w:r>
    </w:p>
    <w:p w14:paraId="4B52FAC1" w14:textId="21408E23" w:rsidR="00AF3EA0" w:rsidRPr="00B41D57" w:rsidRDefault="00AF3EA0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color w:val="181618"/>
          <w:spacing w:val="-2"/>
          <w:w w:val="110"/>
          <w:sz w:val="21"/>
        </w:rPr>
        <w:t>Praziquantelum</w:t>
      </w:r>
      <w:proofErr w:type="spellEnd"/>
      <w:r>
        <w:rPr>
          <w:color w:val="181618"/>
          <w:spacing w:val="-2"/>
          <w:w w:val="110"/>
          <w:sz w:val="21"/>
        </w:rPr>
        <w:tab/>
      </w:r>
      <w:r>
        <w:rPr>
          <w:color w:val="181618"/>
          <w:spacing w:val="-2"/>
          <w:w w:val="110"/>
          <w:sz w:val="21"/>
        </w:rPr>
        <w:tab/>
        <w:t>140,3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532219F" w:rsidR="00C114FF" w:rsidRPr="00B41D57" w:rsidRDefault="00351F6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DE1B08" w14:paraId="0B4C76E3" w14:textId="77777777" w:rsidTr="00100CBF">
        <w:tc>
          <w:tcPr>
            <w:tcW w:w="4527" w:type="dxa"/>
            <w:shd w:val="clear" w:color="auto" w:fill="auto"/>
            <w:vAlign w:val="center"/>
          </w:tcPr>
          <w:p w14:paraId="6D45EB6D" w14:textId="70421794" w:rsidR="00872C48" w:rsidRPr="00B41D57" w:rsidRDefault="00351F6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E659D33" w14:textId="45A37991" w:rsidR="00872C48" w:rsidRPr="00B41D57" w:rsidRDefault="00351F6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00CBF" w14:paraId="7D5263D3" w14:textId="77777777" w:rsidTr="00F61FB7">
        <w:tc>
          <w:tcPr>
            <w:tcW w:w="4527" w:type="dxa"/>
            <w:shd w:val="clear" w:color="auto" w:fill="auto"/>
          </w:tcPr>
          <w:p w14:paraId="0F798F46" w14:textId="57E4814F" w:rsidR="00100CBF" w:rsidRPr="00B41D57" w:rsidRDefault="00100CBF" w:rsidP="00100CBF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84A79">
              <w:t>Hydrogenovaný ricinový olej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57A3BBC" w14:textId="77777777" w:rsidR="00100CBF" w:rsidRPr="00B41D57" w:rsidRDefault="00100CBF" w:rsidP="00100CBF">
            <w:pPr>
              <w:spacing w:before="60" w:after="60"/>
              <w:rPr>
                <w:iCs/>
                <w:szCs w:val="22"/>
              </w:rPr>
            </w:pPr>
          </w:p>
        </w:tc>
      </w:tr>
      <w:tr w:rsidR="00100CBF" w14:paraId="6A4C5E50" w14:textId="77777777" w:rsidTr="00F61FB7">
        <w:tc>
          <w:tcPr>
            <w:tcW w:w="4527" w:type="dxa"/>
            <w:shd w:val="clear" w:color="auto" w:fill="auto"/>
          </w:tcPr>
          <w:p w14:paraId="5CCC8F42" w14:textId="25ADF256" w:rsidR="00100CBF" w:rsidRPr="00B41D57" w:rsidRDefault="00100CBF" w:rsidP="00100CBF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84A79">
              <w:t>Hydroxypropylcelul</w:t>
            </w:r>
            <w:r w:rsidR="003472FB">
              <w:t>osa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2EA0CFB0" w14:textId="77777777" w:rsidR="00100CBF" w:rsidRPr="00B41D57" w:rsidRDefault="00100CBF" w:rsidP="00100CBF">
            <w:pPr>
              <w:spacing w:before="60" w:after="60"/>
              <w:rPr>
                <w:iCs/>
                <w:szCs w:val="22"/>
              </w:rPr>
            </w:pPr>
          </w:p>
        </w:tc>
      </w:tr>
      <w:tr w:rsidR="00DE1B08" w14:paraId="1E235C5B" w14:textId="77777777" w:rsidTr="00100CBF">
        <w:tc>
          <w:tcPr>
            <w:tcW w:w="4527" w:type="dxa"/>
            <w:shd w:val="clear" w:color="auto" w:fill="auto"/>
            <w:vAlign w:val="center"/>
          </w:tcPr>
          <w:p w14:paraId="0ECB18EE" w14:textId="44DEBAF2" w:rsidR="00872C48" w:rsidRPr="00B41D57" w:rsidRDefault="00100CBF" w:rsidP="00617B81">
            <w:pPr>
              <w:spacing w:before="60" w:after="60"/>
              <w:rPr>
                <w:iCs/>
                <w:szCs w:val="22"/>
              </w:rPr>
            </w:pPr>
            <w:r w:rsidRPr="0077314C">
              <w:rPr>
                <w:bCs/>
                <w:szCs w:val="22"/>
              </w:rPr>
              <w:t>Oxid titaničitý (E 171)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0880B39" w14:textId="6DC902AA" w:rsidR="00872C48" w:rsidRPr="00B41D57" w:rsidRDefault="00100CBF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20 mg</w:t>
            </w:r>
          </w:p>
        </w:tc>
      </w:tr>
      <w:tr w:rsidR="00100CBF" w14:paraId="726979DE" w14:textId="77777777" w:rsidTr="00F61FB7">
        <w:tc>
          <w:tcPr>
            <w:tcW w:w="4527" w:type="dxa"/>
            <w:shd w:val="clear" w:color="auto" w:fill="auto"/>
          </w:tcPr>
          <w:p w14:paraId="4D9ACFF2" w14:textId="3A89B6D7" w:rsidR="00100CBF" w:rsidRPr="00B41D57" w:rsidRDefault="00F61FB7" w:rsidP="00100CBF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>Jablečné aroma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7285C4B" w14:textId="77777777" w:rsidR="00100CBF" w:rsidRPr="00B41D57" w:rsidRDefault="00100CBF" w:rsidP="00100CBF">
            <w:pPr>
              <w:spacing w:before="60" w:after="60"/>
              <w:rPr>
                <w:iCs/>
                <w:szCs w:val="22"/>
              </w:rPr>
            </w:pPr>
          </w:p>
        </w:tc>
      </w:tr>
      <w:tr w:rsidR="00100CBF" w14:paraId="7E2051F5" w14:textId="77777777" w:rsidTr="00F61FB7">
        <w:tc>
          <w:tcPr>
            <w:tcW w:w="4527" w:type="dxa"/>
            <w:shd w:val="clear" w:color="auto" w:fill="auto"/>
          </w:tcPr>
          <w:p w14:paraId="53752492" w14:textId="70E6412F" w:rsidR="00100CBF" w:rsidRPr="00B41D57" w:rsidRDefault="00100CBF" w:rsidP="00100CBF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019A2">
              <w:t>Propylenglykol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5008D6AC" w14:textId="77777777" w:rsidR="00100CBF" w:rsidRPr="00B41D57" w:rsidRDefault="00100CBF" w:rsidP="00100CB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6162C0A9" w14:textId="77777777" w:rsidR="00100CBF" w:rsidRDefault="00100CBF" w:rsidP="00100CBF">
      <w:pPr>
        <w:widowControl w:val="0"/>
        <w:rPr>
          <w:bCs/>
          <w:szCs w:val="22"/>
        </w:rPr>
      </w:pPr>
    </w:p>
    <w:p w14:paraId="38F51D2A" w14:textId="3F920F53" w:rsidR="00872C48" w:rsidRPr="00100CBF" w:rsidRDefault="00100CBF" w:rsidP="00100CBF">
      <w:pPr>
        <w:widowControl w:val="0"/>
        <w:rPr>
          <w:b/>
          <w:bCs/>
          <w:szCs w:val="22"/>
        </w:rPr>
      </w:pPr>
      <w:r w:rsidRPr="0077314C">
        <w:rPr>
          <w:bCs/>
          <w:szCs w:val="22"/>
        </w:rPr>
        <w:t>Bílá až našedlá homogenní pasta.</w:t>
      </w:r>
    </w:p>
    <w:p w14:paraId="2E6CA329" w14:textId="1FB2EB0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EC21C" w14:textId="77777777" w:rsidR="009B4385" w:rsidRPr="00B41D57" w:rsidRDefault="009B43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51F6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51F6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1D83BBF" w14:textId="77777777" w:rsidR="00186998" w:rsidRDefault="00186998" w:rsidP="00B13B6D">
      <w:pPr>
        <w:pStyle w:val="Style1"/>
      </w:pPr>
    </w:p>
    <w:p w14:paraId="39FBEBF0" w14:textId="77777777" w:rsidR="00186998" w:rsidRPr="0065739B" w:rsidRDefault="00186998" w:rsidP="00186998">
      <w:pPr>
        <w:widowControl w:val="0"/>
        <w:rPr>
          <w:b/>
          <w:bCs/>
          <w:szCs w:val="22"/>
        </w:rPr>
      </w:pPr>
      <w:r w:rsidRPr="0077314C">
        <w:rPr>
          <w:bCs/>
          <w:szCs w:val="22"/>
        </w:rPr>
        <w:t>Koně.</w:t>
      </w:r>
    </w:p>
    <w:p w14:paraId="0AF09C13" w14:textId="77777777" w:rsidR="00186998" w:rsidRDefault="00186998" w:rsidP="00B13B6D">
      <w:pPr>
        <w:pStyle w:val="Style1"/>
      </w:pPr>
    </w:p>
    <w:p w14:paraId="0B7F6CD1" w14:textId="6F78DE2F" w:rsidR="00C114FF" w:rsidRPr="00B41D57" w:rsidRDefault="00351F68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20F7B" w14:textId="7354263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>Léčba smíšených infestací tasemnicemi a hlísticemi nebo členovci způsobených dospělci nebo</w:t>
      </w:r>
      <w:r>
        <w:rPr>
          <w:rFonts w:eastAsia="Calibri"/>
          <w:szCs w:val="22"/>
        </w:rPr>
        <w:t xml:space="preserve"> </w:t>
      </w:r>
      <w:r w:rsidRPr="0077314C">
        <w:rPr>
          <w:rFonts w:eastAsia="Calibri"/>
          <w:szCs w:val="22"/>
        </w:rPr>
        <w:t>vývojovými stádii hlístic, plicních červů, larev střečků a tasemnic u koní:</w:t>
      </w:r>
    </w:p>
    <w:p w14:paraId="1868D261" w14:textId="7777777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</w:p>
    <w:p w14:paraId="34CB3FA8" w14:textId="77777777" w:rsidR="003F0190" w:rsidRDefault="00186998" w:rsidP="00186998">
      <w:pPr>
        <w:widowControl w:val="0"/>
        <w:autoSpaceDE w:val="0"/>
        <w:autoSpaceDN w:val="0"/>
        <w:adjustRightInd w:val="0"/>
        <w:rPr>
          <w:rFonts w:eastAsia="Calibri"/>
          <w:szCs w:val="22"/>
        </w:rPr>
      </w:pPr>
      <w:r w:rsidRPr="00186998">
        <w:rPr>
          <w:rFonts w:eastAsia="Calibri"/>
          <w:b/>
          <w:bCs/>
          <w:szCs w:val="22"/>
        </w:rPr>
        <w:t>Hlístice:</w:t>
      </w:r>
      <w:r w:rsidRPr="0077314C">
        <w:rPr>
          <w:rFonts w:eastAsia="Calibri"/>
          <w:szCs w:val="22"/>
        </w:rPr>
        <w:br/>
      </w:r>
      <w:r w:rsidRPr="0065739B">
        <w:rPr>
          <w:rFonts w:eastAsia="Calibri"/>
          <w:szCs w:val="22"/>
          <w:u w:val="single"/>
        </w:rPr>
        <w:t xml:space="preserve">Velcí </w:t>
      </w:r>
      <w:proofErr w:type="spellStart"/>
      <w:r w:rsidRPr="0065739B">
        <w:rPr>
          <w:rFonts w:eastAsia="Calibri"/>
          <w:szCs w:val="22"/>
          <w:u w:val="single"/>
        </w:rPr>
        <w:t>strongylidi</w:t>
      </w:r>
      <w:proofErr w:type="spellEnd"/>
      <w:r>
        <w:rPr>
          <w:rFonts w:eastAsia="Calibri"/>
          <w:szCs w:val="22"/>
        </w:rPr>
        <w:t>:</w:t>
      </w:r>
      <w:r w:rsidRPr="0077314C">
        <w:rPr>
          <w:rFonts w:eastAsia="Calibri"/>
          <w:szCs w:val="22"/>
        </w:rPr>
        <w:br/>
      </w:r>
      <w:proofErr w:type="spellStart"/>
      <w:r w:rsidRPr="0077314C">
        <w:rPr>
          <w:rFonts w:eastAsia="Calibri"/>
          <w:i/>
          <w:szCs w:val="22"/>
        </w:rPr>
        <w:t>Strongylus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vulgaris</w:t>
      </w:r>
      <w:proofErr w:type="spellEnd"/>
      <w:r w:rsidRPr="0077314C">
        <w:rPr>
          <w:rFonts w:eastAsia="Calibri"/>
          <w:szCs w:val="22"/>
        </w:rPr>
        <w:t xml:space="preserve"> (dospělci a arteriální larvální stádia)</w:t>
      </w:r>
      <w:r>
        <w:rPr>
          <w:rFonts w:eastAsia="Calibri"/>
          <w:szCs w:val="22"/>
        </w:rPr>
        <w:t>,</w:t>
      </w:r>
      <w:r w:rsidRPr="0077314C">
        <w:rPr>
          <w:rFonts w:eastAsia="Calibri"/>
          <w:szCs w:val="22"/>
        </w:rPr>
        <w:br/>
      </w:r>
      <w:proofErr w:type="spellStart"/>
      <w:r w:rsidRPr="0077314C">
        <w:rPr>
          <w:rFonts w:eastAsia="Calibri"/>
          <w:i/>
          <w:szCs w:val="22"/>
        </w:rPr>
        <w:t>Strongylus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edentatus</w:t>
      </w:r>
      <w:proofErr w:type="spellEnd"/>
      <w:r w:rsidRPr="0077314C">
        <w:rPr>
          <w:rFonts w:eastAsia="Calibri"/>
          <w:szCs w:val="22"/>
        </w:rPr>
        <w:t xml:space="preserve"> (dospělci a L4 tkáňová larvální stádia)</w:t>
      </w:r>
      <w:r>
        <w:rPr>
          <w:rFonts w:eastAsia="Calibri"/>
          <w:szCs w:val="22"/>
        </w:rPr>
        <w:t>,</w:t>
      </w:r>
      <w:r w:rsidRPr="0077314C">
        <w:rPr>
          <w:rFonts w:eastAsia="Calibri"/>
          <w:szCs w:val="22"/>
        </w:rPr>
        <w:br/>
      </w:r>
      <w:proofErr w:type="spellStart"/>
      <w:r w:rsidRPr="0077314C">
        <w:rPr>
          <w:rFonts w:eastAsia="Calibri"/>
          <w:i/>
          <w:szCs w:val="22"/>
        </w:rPr>
        <w:t>Strongylus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equinus</w:t>
      </w:r>
      <w:proofErr w:type="spellEnd"/>
      <w:r w:rsidRPr="0077314C">
        <w:rPr>
          <w:rFonts w:eastAsia="Calibri"/>
          <w:szCs w:val="22"/>
        </w:rPr>
        <w:t xml:space="preserve"> (dospělci)</w:t>
      </w:r>
      <w:r>
        <w:rPr>
          <w:rFonts w:eastAsia="Calibri"/>
          <w:szCs w:val="22"/>
        </w:rPr>
        <w:t xml:space="preserve">, </w:t>
      </w:r>
    </w:p>
    <w:p w14:paraId="085B8DE9" w14:textId="1AEDEDDF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proofErr w:type="spellStart"/>
      <w:r w:rsidRPr="0077314C">
        <w:rPr>
          <w:rFonts w:eastAsia="Calibri"/>
          <w:i/>
          <w:szCs w:val="22"/>
        </w:rPr>
        <w:t>Triodontophorus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szCs w:val="22"/>
        </w:rPr>
        <w:t>spp</w:t>
      </w:r>
      <w:proofErr w:type="spellEnd"/>
      <w:r w:rsidRPr="0077314C">
        <w:rPr>
          <w:rFonts w:eastAsia="Calibri"/>
          <w:i/>
          <w:szCs w:val="22"/>
        </w:rPr>
        <w:t>.</w:t>
      </w:r>
      <w:r w:rsidRPr="0077314C">
        <w:rPr>
          <w:rFonts w:eastAsia="Calibri"/>
          <w:szCs w:val="22"/>
        </w:rPr>
        <w:t xml:space="preserve"> (dospělci).</w:t>
      </w:r>
    </w:p>
    <w:p w14:paraId="3B5FDFBD" w14:textId="77777777" w:rsidR="00186998" w:rsidRDefault="00186998" w:rsidP="00186998">
      <w:pPr>
        <w:widowControl w:val="0"/>
        <w:autoSpaceDE w:val="0"/>
        <w:autoSpaceDN w:val="0"/>
        <w:adjustRightInd w:val="0"/>
        <w:rPr>
          <w:rFonts w:eastAsia="Calibri"/>
          <w:szCs w:val="22"/>
        </w:rPr>
      </w:pPr>
    </w:p>
    <w:p w14:paraId="1C7622FC" w14:textId="77777777" w:rsidR="00186998" w:rsidRDefault="00186998" w:rsidP="00186998">
      <w:pPr>
        <w:widowControl w:val="0"/>
        <w:autoSpaceDE w:val="0"/>
        <w:autoSpaceDN w:val="0"/>
        <w:adjustRightInd w:val="0"/>
        <w:rPr>
          <w:rFonts w:eastAsia="Calibri"/>
          <w:i/>
          <w:szCs w:val="22"/>
        </w:rPr>
      </w:pPr>
      <w:r w:rsidRPr="0065739B">
        <w:rPr>
          <w:rFonts w:eastAsia="Calibri"/>
          <w:szCs w:val="22"/>
          <w:u w:val="single"/>
        </w:rPr>
        <w:t xml:space="preserve">Malí </w:t>
      </w:r>
      <w:proofErr w:type="spellStart"/>
      <w:r w:rsidRPr="0065739B">
        <w:rPr>
          <w:rFonts w:eastAsia="Calibri"/>
          <w:szCs w:val="22"/>
          <w:u w:val="single"/>
        </w:rPr>
        <w:t>strongylidi</w:t>
      </w:r>
      <w:proofErr w:type="spellEnd"/>
      <w:r>
        <w:rPr>
          <w:rFonts w:eastAsia="Calibri"/>
          <w:szCs w:val="22"/>
        </w:rPr>
        <w:t>:</w:t>
      </w:r>
      <w:r w:rsidRPr="0077314C">
        <w:rPr>
          <w:rFonts w:eastAsia="Calibri"/>
          <w:szCs w:val="22"/>
        </w:rPr>
        <w:br/>
      </w:r>
      <w:proofErr w:type="spellStart"/>
      <w:r w:rsidRPr="005729A9">
        <w:rPr>
          <w:rFonts w:eastAsia="Calibri"/>
          <w:szCs w:val="22"/>
        </w:rPr>
        <w:t>Cyathostomum</w:t>
      </w:r>
      <w:proofErr w:type="spellEnd"/>
      <w:r w:rsidRPr="00E92305">
        <w:rPr>
          <w:rFonts w:eastAsia="Calibri"/>
          <w:szCs w:val="22"/>
        </w:rPr>
        <w:t>:</w:t>
      </w:r>
      <w:r w:rsidRPr="0077314C">
        <w:rPr>
          <w:rFonts w:eastAsia="Calibri"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Cylicocyclus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szCs w:val="22"/>
        </w:rPr>
        <w:t>spp</w:t>
      </w:r>
      <w:proofErr w:type="spellEnd"/>
      <w:r w:rsidRPr="0077314C">
        <w:rPr>
          <w:rFonts w:eastAsia="Calibri"/>
          <w:i/>
          <w:szCs w:val="22"/>
        </w:rPr>
        <w:t xml:space="preserve">., </w:t>
      </w:r>
    </w:p>
    <w:p w14:paraId="6901582D" w14:textId="77777777" w:rsidR="00186998" w:rsidRDefault="00186998" w:rsidP="00186998">
      <w:pPr>
        <w:widowControl w:val="0"/>
        <w:autoSpaceDE w:val="0"/>
        <w:autoSpaceDN w:val="0"/>
        <w:adjustRightInd w:val="0"/>
        <w:rPr>
          <w:rFonts w:eastAsia="Calibri"/>
          <w:i/>
          <w:szCs w:val="22"/>
        </w:rPr>
      </w:pPr>
      <w:proofErr w:type="spellStart"/>
      <w:r w:rsidRPr="0077314C">
        <w:rPr>
          <w:rFonts w:eastAsia="Calibri"/>
          <w:i/>
          <w:szCs w:val="22"/>
        </w:rPr>
        <w:t>Cylicostephanus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szCs w:val="22"/>
        </w:rPr>
        <w:t>spp</w:t>
      </w:r>
      <w:proofErr w:type="spellEnd"/>
      <w:r w:rsidRPr="0077314C">
        <w:rPr>
          <w:rFonts w:eastAsia="Calibri"/>
          <w:i/>
          <w:szCs w:val="22"/>
        </w:rPr>
        <w:t xml:space="preserve">., </w:t>
      </w:r>
    </w:p>
    <w:p w14:paraId="746EB496" w14:textId="77777777" w:rsidR="00186998" w:rsidRDefault="00186998" w:rsidP="00186998">
      <w:pPr>
        <w:widowControl w:val="0"/>
        <w:autoSpaceDE w:val="0"/>
        <w:autoSpaceDN w:val="0"/>
        <w:adjustRightInd w:val="0"/>
        <w:rPr>
          <w:rFonts w:eastAsia="Calibri"/>
          <w:i/>
          <w:szCs w:val="22"/>
        </w:rPr>
      </w:pPr>
      <w:proofErr w:type="spellStart"/>
      <w:r w:rsidRPr="0077314C">
        <w:rPr>
          <w:rFonts w:eastAsia="Calibri"/>
          <w:i/>
          <w:szCs w:val="22"/>
        </w:rPr>
        <w:t>Cylicodontophorus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szCs w:val="22"/>
        </w:rPr>
        <w:t>spp</w:t>
      </w:r>
      <w:proofErr w:type="spellEnd"/>
      <w:r w:rsidRPr="0077314C">
        <w:rPr>
          <w:rFonts w:eastAsia="Calibri"/>
          <w:i/>
          <w:szCs w:val="22"/>
        </w:rPr>
        <w:t xml:space="preserve">., </w:t>
      </w:r>
    </w:p>
    <w:p w14:paraId="6817230F" w14:textId="73A0A1DE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proofErr w:type="spellStart"/>
      <w:r w:rsidRPr="0077314C">
        <w:rPr>
          <w:rFonts w:eastAsia="Calibri"/>
          <w:i/>
          <w:szCs w:val="22"/>
        </w:rPr>
        <w:t>Gyalocephalus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szCs w:val="22"/>
        </w:rPr>
        <w:t>spp</w:t>
      </w:r>
      <w:proofErr w:type="spellEnd"/>
      <w:r w:rsidRPr="0077314C">
        <w:rPr>
          <w:rFonts w:eastAsia="Calibri"/>
          <w:i/>
          <w:szCs w:val="22"/>
        </w:rPr>
        <w:t>.</w:t>
      </w:r>
      <w:r w:rsidRPr="0077314C">
        <w:rPr>
          <w:rFonts w:eastAsia="Calibri"/>
          <w:szCs w:val="22"/>
        </w:rPr>
        <w:t xml:space="preserve"> (dospělci a neinhibované slizniční larvy).</w:t>
      </w:r>
    </w:p>
    <w:p w14:paraId="5AA8E8A3" w14:textId="77777777" w:rsidR="00186998" w:rsidRDefault="00186998" w:rsidP="00186998">
      <w:pPr>
        <w:widowControl w:val="0"/>
        <w:autoSpaceDE w:val="0"/>
        <w:autoSpaceDN w:val="0"/>
        <w:adjustRightInd w:val="0"/>
        <w:rPr>
          <w:rFonts w:eastAsia="Calibri"/>
          <w:szCs w:val="22"/>
        </w:rPr>
      </w:pPr>
    </w:p>
    <w:p w14:paraId="1CF1AE87" w14:textId="1377EC6A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proofErr w:type="spellStart"/>
      <w:r w:rsidRPr="0077314C">
        <w:rPr>
          <w:rFonts w:eastAsia="Calibri"/>
          <w:szCs w:val="22"/>
        </w:rPr>
        <w:t>Parascaris</w:t>
      </w:r>
      <w:proofErr w:type="spellEnd"/>
      <w:r w:rsidRPr="0077314C">
        <w:rPr>
          <w:rFonts w:eastAsia="Calibri"/>
          <w:szCs w:val="22"/>
        </w:rPr>
        <w:t xml:space="preserve">: </w:t>
      </w:r>
      <w:proofErr w:type="spellStart"/>
      <w:r w:rsidRPr="0077314C">
        <w:rPr>
          <w:rFonts w:eastAsia="Calibri"/>
          <w:i/>
          <w:szCs w:val="22"/>
        </w:rPr>
        <w:t>Parascaris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equorum</w:t>
      </w:r>
      <w:proofErr w:type="spellEnd"/>
      <w:r w:rsidRPr="0077314C">
        <w:rPr>
          <w:rFonts w:eastAsia="Calibri"/>
          <w:szCs w:val="22"/>
        </w:rPr>
        <w:t xml:space="preserve"> (dospělci a larvy)</w:t>
      </w:r>
      <w:r w:rsidR="00A56353">
        <w:rPr>
          <w:rFonts w:eastAsia="Calibri"/>
          <w:szCs w:val="22"/>
        </w:rPr>
        <w:t>,</w:t>
      </w:r>
    </w:p>
    <w:p w14:paraId="7EC12770" w14:textId="179E732A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proofErr w:type="spellStart"/>
      <w:r w:rsidRPr="0077314C">
        <w:rPr>
          <w:rFonts w:eastAsia="Calibri"/>
          <w:szCs w:val="22"/>
        </w:rPr>
        <w:t>Oxyuris</w:t>
      </w:r>
      <w:proofErr w:type="spellEnd"/>
      <w:r w:rsidRPr="0077314C">
        <w:rPr>
          <w:rFonts w:eastAsia="Calibri"/>
          <w:szCs w:val="22"/>
        </w:rPr>
        <w:t xml:space="preserve">: </w:t>
      </w:r>
      <w:proofErr w:type="spellStart"/>
      <w:r w:rsidRPr="0077314C">
        <w:rPr>
          <w:rFonts w:eastAsia="Calibri"/>
          <w:i/>
          <w:szCs w:val="22"/>
        </w:rPr>
        <w:t>Oxyuris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equi</w:t>
      </w:r>
      <w:proofErr w:type="spellEnd"/>
      <w:r w:rsidRPr="0077314C">
        <w:rPr>
          <w:rFonts w:eastAsia="Calibri"/>
          <w:szCs w:val="22"/>
        </w:rPr>
        <w:t xml:space="preserve"> (larvy)</w:t>
      </w:r>
      <w:r w:rsidR="00A56353">
        <w:rPr>
          <w:rFonts w:eastAsia="Calibri"/>
          <w:szCs w:val="22"/>
        </w:rPr>
        <w:t>,</w:t>
      </w:r>
    </w:p>
    <w:p w14:paraId="5312EEF2" w14:textId="166E8AD5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proofErr w:type="spellStart"/>
      <w:r w:rsidRPr="0077314C">
        <w:rPr>
          <w:rFonts w:eastAsia="Calibri"/>
          <w:szCs w:val="22"/>
        </w:rPr>
        <w:lastRenderedPageBreak/>
        <w:t>Trichostrongylus</w:t>
      </w:r>
      <w:proofErr w:type="spellEnd"/>
      <w:r w:rsidRPr="0077314C">
        <w:rPr>
          <w:rFonts w:eastAsia="Calibri"/>
          <w:szCs w:val="22"/>
        </w:rPr>
        <w:t xml:space="preserve">: </w:t>
      </w:r>
      <w:proofErr w:type="spellStart"/>
      <w:r w:rsidRPr="0077314C">
        <w:rPr>
          <w:rFonts w:eastAsia="Calibri"/>
          <w:i/>
          <w:szCs w:val="22"/>
        </w:rPr>
        <w:t>Trichostrongylus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axei</w:t>
      </w:r>
      <w:proofErr w:type="spellEnd"/>
      <w:r w:rsidRPr="0077314C">
        <w:rPr>
          <w:rFonts w:eastAsia="Calibri"/>
          <w:szCs w:val="22"/>
        </w:rPr>
        <w:t xml:space="preserve"> (dospělci)</w:t>
      </w:r>
      <w:r w:rsidR="00A56353">
        <w:rPr>
          <w:rFonts w:eastAsia="Calibri"/>
          <w:szCs w:val="22"/>
        </w:rPr>
        <w:t>,</w:t>
      </w:r>
    </w:p>
    <w:p w14:paraId="18658C1D" w14:textId="4BADFEC3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Střevní </w:t>
      </w:r>
      <w:proofErr w:type="spellStart"/>
      <w:r w:rsidRPr="0077314C">
        <w:rPr>
          <w:rFonts w:eastAsia="Calibri"/>
          <w:szCs w:val="22"/>
        </w:rPr>
        <w:t>strongylozy</w:t>
      </w:r>
      <w:proofErr w:type="spellEnd"/>
      <w:r w:rsidRPr="0077314C">
        <w:rPr>
          <w:rFonts w:eastAsia="Calibri"/>
          <w:szCs w:val="22"/>
        </w:rPr>
        <w:t xml:space="preserve">: </w:t>
      </w:r>
      <w:proofErr w:type="spellStart"/>
      <w:r w:rsidRPr="0077314C">
        <w:rPr>
          <w:rFonts w:eastAsia="Calibri"/>
          <w:i/>
          <w:szCs w:val="22"/>
        </w:rPr>
        <w:t>Strongyloides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westeri</w:t>
      </w:r>
      <w:proofErr w:type="spellEnd"/>
      <w:r w:rsidRPr="0077314C">
        <w:rPr>
          <w:rFonts w:eastAsia="Calibri"/>
          <w:szCs w:val="22"/>
        </w:rPr>
        <w:t xml:space="preserve"> (dospělci)</w:t>
      </w:r>
      <w:r w:rsidR="00A56353">
        <w:rPr>
          <w:rFonts w:eastAsia="Calibri"/>
          <w:szCs w:val="22"/>
        </w:rPr>
        <w:t>,</w:t>
      </w:r>
    </w:p>
    <w:p w14:paraId="0ABCF1FB" w14:textId="187D710F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proofErr w:type="spellStart"/>
      <w:r w:rsidRPr="0077314C">
        <w:rPr>
          <w:rFonts w:eastAsia="Calibri"/>
          <w:szCs w:val="22"/>
        </w:rPr>
        <w:t>Habronema</w:t>
      </w:r>
      <w:proofErr w:type="spellEnd"/>
      <w:r w:rsidRPr="0077314C">
        <w:rPr>
          <w:rFonts w:eastAsia="Calibri"/>
          <w:szCs w:val="22"/>
        </w:rPr>
        <w:t xml:space="preserve">: </w:t>
      </w:r>
      <w:proofErr w:type="spellStart"/>
      <w:r w:rsidRPr="0077314C">
        <w:rPr>
          <w:rFonts w:eastAsia="Calibri"/>
          <w:i/>
          <w:szCs w:val="22"/>
        </w:rPr>
        <w:t>Habronema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szCs w:val="22"/>
        </w:rPr>
        <w:t>spp</w:t>
      </w:r>
      <w:proofErr w:type="spellEnd"/>
      <w:r w:rsidRPr="0077314C">
        <w:rPr>
          <w:rFonts w:eastAsia="Calibri"/>
          <w:i/>
          <w:szCs w:val="22"/>
        </w:rPr>
        <w:t>.</w:t>
      </w:r>
      <w:r w:rsidRPr="0077314C">
        <w:rPr>
          <w:rFonts w:eastAsia="Calibri"/>
          <w:szCs w:val="22"/>
        </w:rPr>
        <w:t xml:space="preserve"> (dospělci)</w:t>
      </w:r>
      <w:r w:rsidR="00A56353">
        <w:rPr>
          <w:rFonts w:eastAsia="Calibri"/>
          <w:szCs w:val="22"/>
        </w:rPr>
        <w:t>,</w:t>
      </w:r>
    </w:p>
    <w:p w14:paraId="0D9BDB91" w14:textId="69F0B11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proofErr w:type="spellStart"/>
      <w:r w:rsidRPr="0077314C">
        <w:rPr>
          <w:rFonts w:eastAsia="Calibri"/>
          <w:szCs w:val="22"/>
        </w:rPr>
        <w:t>Onchocerca</w:t>
      </w:r>
      <w:proofErr w:type="spellEnd"/>
      <w:r w:rsidRPr="0077314C">
        <w:rPr>
          <w:rFonts w:eastAsia="Calibri"/>
          <w:szCs w:val="22"/>
        </w:rPr>
        <w:t xml:space="preserve">: </w:t>
      </w:r>
      <w:proofErr w:type="spellStart"/>
      <w:r w:rsidRPr="0077314C">
        <w:rPr>
          <w:rFonts w:eastAsia="Calibri"/>
          <w:i/>
          <w:szCs w:val="22"/>
        </w:rPr>
        <w:t>Onchocerca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szCs w:val="22"/>
        </w:rPr>
        <w:t>spp</w:t>
      </w:r>
      <w:proofErr w:type="spellEnd"/>
      <w:r w:rsidRPr="0077314C">
        <w:rPr>
          <w:rFonts w:eastAsia="Calibri"/>
          <w:i/>
          <w:szCs w:val="22"/>
        </w:rPr>
        <w:t>.</w:t>
      </w:r>
      <w:r w:rsidRPr="0077314C">
        <w:rPr>
          <w:rFonts w:eastAsia="Calibri"/>
          <w:szCs w:val="22"/>
        </w:rPr>
        <w:t xml:space="preserve"> </w:t>
      </w:r>
      <w:proofErr w:type="spellStart"/>
      <w:r w:rsidRPr="0077314C">
        <w:rPr>
          <w:rFonts w:eastAsia="Calibri"/>
          <w:szCs w:val="22"/>
        </w:rPr>
        <w:t>mi</w:t>
      </w:r>
      <w:r w:rsidR="00A56353">
        <w:rPr>
          <w:rFonts w:eastAsia="Calibri"/>
          <w:szCs w:val="22"/>
        </w:rPr>
        <w:t>k</w:t>
      </w:r>
      <w:r w:rsidRPr="0077314C">
        <w:rPr>
          <w:rFonts w:eastAsia="Calibri"/>
          <w:szCs w:val="22"/>
        </w:rPr>
        <w:t>rofil</w:t>
      </w:r>
      <w:r w:rsidR="00A56353">
        <w:rPr>
          <w:rFonts w:eastAsia="Calibri"/>
          <w:szCs w:val="22"/>
        </w:rPr>
        <w:t>árie</w:t>
      </w:r>
      <w:proofErr w:type="spellEnd"/>
      <w:r w:rsidRPr="0077314C">
        <w:rPr>
          <w:rFonts w:eastAsia="Calibri"/>
          <w:szCs w:val="22"/>
        </w:rPr>
        <w:t xml:space="preserve"> tj., kožní onchocerkóza</w:t>
      </w:r>
      <w:r w:rsidR="00A56353">
        <w:rPr>
          <w:rFonts w:eastAsia="Calibri"/>
          <w:szCs w:val="22"/>
        </w:rPr>
        <w:t>,</w:t>
      </w:r>
    </w:p>
    <w:p w14:paraId="2F42F1B0" w14:textId="7777777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Plicní červi: </w:t>
      </w:r>
      <w:proofErr w:type="spellStart"/>
      <w:r w:rsidRPr="0077314C">
        <w:rPr>
          <w:rFonts w:eastAsia="Calibri"/>
          <w:i/>
          <w:szCs w:val="22"/>
        </w:rPr>
        <w:t>Dictyocaulus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arnfieldi</w:t>
      </w:r>
      <w:proofErr w:type="spellEnd"/>
      <w:r w:rsidRPr="0077314C">
        <w:rPr>
          <w:rFonts w:eastAsia="Calibri"/>
          <w:szCs w:val="22"/>
        </w:rPr>
        <w:t xml:space="preserve"> (dospělci a larvy).</w:t>
      </w:r>
    </w:p>
    <w:p w14:paraId="363EC6A1" w14:textId="7777777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szCs w:val="22"/>
        </w:rPr>
      </w:pPr>
    </w:p>
    <w:p w14:paraId="2156D23A" w14:textId="7777777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r w:rsidRPr="0065739B">
        <w:rPr>
          <w:rFonts w:eastAsia="Calibri"/>
          <w:b/>
          <w:bCs/>
          <w:szCs w:val="22"/>
        </w:rPr>
        <w:t>Tasemnice</w:t>
      </w:r>
      <w:r w:rsidRPr="0077314C">
        <w:rPr>
          <w:rFonts w:eastAsia="Calibri"/>
          <w:szCs w:val="22"/>
        </w:rPr>
        <w:t xml:space="preserve">: </w:t>
      </w:r>
    </w:p>
    <w:p w14:paraId="1ACBB657" w14:textId="77777777" w:rsidR="00186998" w:rsidRDefault="00186998" w:rsidP="00186998">
      <w:pPr>
        <w:widowControl w:val="0"/>
        <w:autoSpaceDE w:val="0"/>
        <w:autoSpaceDN w:val="0"/>
        <w:adjustRightInd w:val="0"/>
        <w:rPr>
          <w:rFonts w:eastAsia="Calibri"/>
          <w:szCs w:val="22"/>
        </w:rPr>
      </w:pPr>
      <w:proofErr w:type="spellStart"/>
      <w:r w:rsidRPr="0077314C">
        <w:rPr>
          <w:rFonts w:eastAsia="Calibri"/>
          <w:i/>
          <w:szCs w:val="22"/>
        </w:rPr>
        <w:t>Anoplocephala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perfoliata</w:t>
      </w:r>
      <w:proofErr w:type="spellEnd"/>
      <w:r w:rsidRPr="0077314C">
        <w:rPr>
          <w:rFonts w:eastAsia="Calibri"/>
          <w:szCs w:val="22"/>
        </w:rPr>
        <w:t xml:space="preserve"> (dospělci), </w:t>
      </w:r>
    </w:p>
    <w:p w14:paraId="141EF516" w14:textId="77777777" w:rsidR="00186998" w:rsidRDefault="00186998" w:rsidP="00186998">
      <w:pPr>
        <w:widowControl w:val="0"/>
        <w:autoSpaceDE w:val="0"/>
        <w:autoSpaceDN w:val="0"/>
        <w:adjustRightInd w:val="0"/>
        <w:rPr>
          <w:rFonts w:eastAsia="Calibri"/>
          <w:szCs w:val="22"/>
        </w:rPr>
      </w:pPr>
      <w:proofErr w:type="spellStart"/>
      <w:r w:rsidRPr="0077314C">
        <w:rPr>
          <w:rFonts w:eastAsia="Calibri"/>
          <w:i/>
          <w:szCs w:val="22"/>
        </w:rPr>
        <w:t>Anoplocephala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magna</w:t>
      </w:r>
      <w:proofErr w:type="spellEnd"/>
      <w:r w:rsidRPr="0077314C">
        <w:rPr>
          <w:rFonts w:eastAsia="Calibri"/>
          <w:szCs w:val="22"/>
        </w:rPr>
        <w:t xml:space="preserve"> (dospělci), </w:t>
      </w:r>
    </w:p>
    <w:p w14:paraId="02ACF96E" w14:textId="7777777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proofErr w:type="spellStart"/>
      <w:r w:rsidRPr="0077314C">
        <w:rPr>
          <w:rFonts w:eastAsia="Calibri"/>
          <w:i/>
          <w:szCs w:val="22"/>
        </w:rPr>
        <w:t>Paranoplocephala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mamillana</w:t>
      </w:r>
      <w:proofErr w:type="spellEnd"/>
      <w:r w:rsidRPr="0077314C">
        <w:rPr>
          <w:rFonts w:eastAsia="Calibri"/>
          <w:szCs w:val="22"/>
        </w:rPr>
        <w:t xml:space="preserve"> (dospělci).</w:t>
      </w:r>
    </w:p>
    <w:p w14:paraId="40E9996C" w14:textId="7777777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</w:p>
    <w:p w14:paraId="5CAFA15F" w14:textId="7777777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r w:rsidRPr="0065739B">
        <w:rPr>
          <w:rFonts w:eastAsia="Calibri"/>
          <w:b/>
          <w:bCs/>
          <w:szCs w:val="22"/>
        </w:rPr>
        <w:t>Dvoukřídlý hmyz</w:t>
      </w:r>
      <w:r w:rsidRPr="0077314C">
        <w:rPr>
          <w:rFonts w:eastAsia="Calibri"/>
          <w:szCs w:val="22"/>
        </w:rPr>
        <w:t xml:space="preserve"> (střečci):</w:t>
      </w:r>
    </w:p>
    <w:p w14:paraId="58CEA1E3" w14:textId="7777777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proofErr w:type="spellStart"/>
      <w:r w:rsidRPr="0077314C">
        <w:rPr>
          <w:rFonts w:eastAsia="Calibri"/>
          <w:i/>
          <w:szCs w:val="22"/>
        </w:rPr>
        <w:t>Gasterophilus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szCs w:val="22"/>
        </w:rPr>
        <w:t>spp</w:t>
      </w:r>
      <w:proofErr w:type="spellEnd"/>
      <w:r w:rsidRPr="0077314C">
        <w:rPr>
          <w:rFonts w:eastAsia="Calibri"/>
          <w:i/>
          <w:szCs w:val="22"/>
        </w:rPr>
        <w:t>.</w:t>
      </w:r>
      <w:r w:rsidRPr="0077314C">
        <w:rPr>
          <w:rFonts w:eastAsia="Calibri"/>
          <w:szCs w:val="22"/>
        </w:rPr>
        <w:t xml:space="preserve"> (larvy).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51F68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3D5D12" w14:textId="4D7F62D7" w:rsidR="00186998" w:rsidRPr="0077314C" w:rsidRDefault="00186998" w:rsidP="00186998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>Nepoužív</w:t>
      </w:r>
      <w:r w:rsidR="00A56353">
        <w:rPr>
          <w:rFonts w:eastAsia="Calibri"/>
          <w:szCs w:val="22"/>
        </w:rPr>
        <w:t>at</w:t>
      </w:r>
      <w:r w:rsidRPr="0077314C">
        <w:rPr>
          <w:rFonts w:eastAsia="Calibri"/>
          <w:szCs w:val="22"/>
        </w:rPr>
        <w:t xml:space="preserve"> u hříbat do 2 týdnů věku.</w:t>
      </w:r>
      <w:r w:rsidRPr="0077314C">
        <w:rPr>
          <w:rFonts w:eastAsia="Calibri"/>
          <w:szCs w:val="22"/>
        </w:rPr>
        <w:br/>
      </w:r>
      <w:r w:rsidR="003F0190" w:rsidRPr="003F0190">
        <w:rPr>
          <w:rFonts w:eastAsia="Calibri"/>
          <w:szCs w:val="22"/>
        </w:rPr>
        <w:t>Nepoužív</w:t>
      </w:r>
      <w:r w:rsidR="00A56353">
        <w:rPr>
          <w:rFonts w:eastAsia="Calibri"/>
          <w:szCs w:val="22"/>
        </w:rPr>
        <w:t>at</w:t>
      </w:r>
      <w:r w:rsidR="003F0190" w:rsidRPr="003F0190">
        <w:rPr>
          <w:rFonts w:eastAsia="Calibri"/>
          <w:szCs w:val="22"/>
        </w:rPr>
        <w:t xml:space="preserve"> v případ</w:t>
      </w:r>
      <w:r w:rsidR="003F0190">
        <w:rPr>
          <w:rFonts w:eastAsia="Calibri"/>
          <w:szCs w:val="22"/>
        </w:rPr>
        <w:t>ech</w:t>
      </w:r>
      <w:r w:rsidR="003F0190" w:rsidRPr="003F0190">
        <w:rPr>
          <w:rFonts w:eastAsia="Calibri"/>
          <w:szCs w:val="22"/>
        </w:rPr>
        <w:t xml:space="preserve"> přecitlivělosti na léčiv</w:t>
      </w:r>
      <w:r w:rsidR="00D966F0">
        <w:rPr>
          <w:rFonts w:eastAsia="Calibri"/>
          <w:szCs w:val="22"/>
        </w:rPr>
        <w:t>é</w:t>
      </w:r>
      <w:r w:rsidR="003F0190" w:rsidRPr="003F0190">
        <w:rPr>
          <w:rFonts w:eastAsia="Calibri"/>
          <w:szCs w:val="22"/>
        </w:rPr>
        <w:t xml:space="preserve"> látk</w:t>
      </w:r>
      <w:r w:rsidR="00D966F0">
        <w:rPr>
          <w:rFonts w:eastAsia="Calibri"/>
          <w:szCs w:val="22"/>
        </w:rPr>
        <w:t>y</w:t>
      </w:r>
      <w:r w:rsidR="003F0190" w:rsidRPr="003F0190">
        <w:rPr>
          <w:rFonts w:eastAsia="Calibri"/>
          <w:szCs w:val="22"/>
        </w:rPr>
        <w:t xml:space="preserve"> nebo na některou z pomocných látek</w:t>
      </w:r>
      <w:r w:rsidRPr="0077314C">
        <w:rPr>
          <w:rFonts w:eastAsia="Calibri"/>
          <w:szCs w:val="22"/>
        </w:rPr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51F68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05D677" w14:textId="034445B3" w:rsidR="00186998" w:rsidRPr="0077314C" w:rsidRDefault="00186998" w:rsidP="0018699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>Z důvodu zvýšení rizika možného vývoje rezistence, které by mohlo vést k neúčinné terapii, je třeba přistupovat k podání přípravku obezřetně a vyhnout se následujícím praktikám:</w:t>
      </w:r>
      <w:r w:rsidRPr="0077314C">
        <w:rPr>
          <w:rFonts w:eastAsia="Calibri"/>
          <w:szCs w:val="22"/>
        </w:rPr>
        <w:br/>
        <w:t xml:space="preserve">- </w:t>
      </w:r>
      <w:r w:rsidR="00D81480">
        <w:rPr>
          <w:rFonts w:eastAsia="Calibri"/>
          <w:szCs w:val="22"/>
        </w:rPr>
        <w:t xml:space="preserve"> </w:t>
      </w:r>
      <w:r w:rsidR="00C7649C">
        <w:rPr>
          <w:rFonts w:eastAsia="Calibri"/>
          <w:szCs w:val="22"/>
        </w:rPr>
        <w:t xml:space="preserve"> </w:t>
      </w:r>
      <w:r w:rsidRPr="0077314C">
        <w:rPr>
          <w:rFonts w:eastAsia="Calibri"/>
          <w:szCs w:val="22"/>
        </w:rPr>
        <w:t>příliš častému a opakujícímu se používání anthelmintik ze stejné skupiny, příliš dlouhé době podávání</w:t>
      </w:r>
      <w:r w:rsidRPr="0077314C">
        <w:rPr>
          <w:rFonts w:eastAsia="Calibri"/>
          <w:szCs w:val="22"/>
        </w:rPr>
        <w:br/>
        <w:t xml:space="preserve">- </w:t>
      </w:r>
      <w:proofErr w:type="spellStart"/>
      <w:r w:rsidRPr="0077314C">
        <w:rPr>
          <w:rFonts w:eastAsia="Calibri"/>
          <w:szCs w:val="22"/>
        </w:rPr>
        <w:t>poddávkování</w:t>
      </w:r>
      <w:proofErr w:type="spellEnd"/>
      <w:r w:rsidRPr="0077314C">
        <w:rPr>
          <w:rFonts w:eastAsia="Calibri"/>
          <w:szCs w:val="22"/>
        </w:rPr>
        <w:t>, které může nastat v důsledku podhodnocení živé hmotnosti, chybného podání přípravku nebo absence možnosti nastavení správné dávky u dávkovacího zařízení.</w:t>
      </w:r>
    </w:p>
    <w:p w14:paraId="3E01443C" w14:textId="77777777" w:rsidR="00186998" w:rsidRPr="0077314C" w:rsidRDefault="00186998" w:rsidP="0018699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</w:p>
    <w:p w14:paraId="51A383B1" w14:textId="6B81916F" w:rsidR="00186998" w:rsidRPr="0077314C" w:rsidRDefault="00186998" w:rsidP="0018699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Za použití vhodných testů (např. testu redukce počtu vajíček v trusu-FECRT) </w:t>
      </w:r>
      <w:r w:rsidR="00DC29ED">
        <w:rPr>
          <w:rFonts w:eastAsia="Calibri"/>
          <w:szCs w:val="22"/>
        </w:rPr>
        <w:t>by měly</w:t>
      </w:r>
      <w:r w:rsidRPr="0077314C">
        <w:rPr>
          <w:rFonts w:eastAsia="Calibri"/>
          <w:szCs w:val="22"/>
        </w:rPr>
        <w:t xml:space="preserve"> být vyšetřeny podezřelé klinické případy na rezistenci k anthelmintikům. Tam, kde výsledky testu potvrzují rezistenci k určitému anthelmintiku, by mělo být použito anthelmintikum náležející do jiné skupiny a mající jiný způsob účinku.</w:t>
      </w:r>
    </w:p>
    <w:p w14:paraId="09000B99" w14:textId="77777777" w:rsidR="00186998" w:rsidRPr="0077314C" w:rsidRDefault="00186998" w:rsidP="0018699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</w:p>
    <w:p w14:paraId="61C9AE71" w14:textId="77777777" w:rsidR="00186998" w:rsidRPr="0077314C" w:rsidRDefault="00186998" w:rsidP="0018699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Rezistence k ivermektinu (ze skupiny avermektinů) byla hlášena u </w:t>
      </w:r>
      <w:proofErr w:type="spellStart"/>
      <w:r w:rsidRPr="0077314C">
        <w:rPr>
          <w:rFonts w:eastAsia="Calibri"/>
          <w:i/>
          <w:szCs w:val="22"/>
        </w:rPr>
        <w:t>Parascaris</w:t>
      </w:r>
      <w:proofErr w:type="spellEnd"/>
      <w:r w:rsidRPr="0077314C">
        <w:rPr>
          <w:rFonts w:eastAsia="Calibri"/>
          <w:i/>
          <w:szCs w:val="22"/>
        </w:rPr>
        <w:t xml:space="preserve"> </w:t>
      </w:r>
      <w:proofErr w:type="spellStart"/>
      <w:r w:rsidRPr="0077314C">
        <w:rPr>
          <w:rFonts w:eastAsia="Calibri"/>
          <w:i/>
          <w:szCs w:val="22"/>
        </w:rPr>
        <w:t>equorum</w:t>
      </w:r>
      <w:proofErr w:type="spellEnd"/>
      <w:r w:rsidRPr="0077314C">
        <w:rPr>
          <w:rFonts w:eastAsia="Calibri"/>
          <w:szCs w:val="22"/>
        </w:rPr>
        <w:t xml:space="preserve"> u koní v různých zemích včetně zemí EU. Proto by použití přípravku mělo být založeno na místní epidemiologické informaci o citlivosti nematod (na úrovni regionu či hospodářství) a doporučení, jak omezit další selekci rezistence k anthelmintikům.</w:t>
      </w:r>
    </w:p>
    <w:p w14:paraId="1136184B" w14:textId="77777777" w:rsidR="00186998" w:rsidRPr="0077314C" w:rsidRDefault="00186998" w:rsidP="0018699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</w:p>
    <w:p w14:paraId="634EB6A8" w14:textId="77777777" w:rsidR="00186998" w:rsidRDefault="00186998" w:rsidP="00186998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77314C">
        <w:rPr>
          <w:rFonts w:eastAsia="Calibri"/>
          <w:szCs w:val="22"/>
        </w:rPr>
        <w:t>Vzhledem k tomu, že u koní do věku 2 měsíců není výskyt infestace tasemnicemi pravděpodobný, léčba hříbat mladších 2 měsíců se nepovažuje za nutnou.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51F68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51F6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5D5BF20B" w:rsidR="00C114FF" w:rsidRPr="00B41D57" w:rsidRDefault="00351F6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51F6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6994B2" w14:textId="64B53D3E" w:rsidR="00186998" w:rsidRPr="0077314C" w:rsidRDefault="00186998" w:rsidP="0018699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Po použití si umyjte ruce. Při </w:t>
      </w:r>
      <w:r w:rsidR="00305A22">
        <w:rPr>
          <w:rFonts w:eastAsia="Calibri"/>
          <w:szCs w:val="22"/>
        </w:rPr>
        <w:t>nakládání</w:t>
      </w:r>
      <w:r w:rsidR="00305A22" w:rsidRPr="0077314C">
        <w:rPr>
          <w:rFonts w:eastAsia="Calibri"/>
          <w:szCs w:val="22"/>
        </w:rPr>
        <w:t xml:space="preserve"> </w:t>
      </w:r>
      <w:r w:rsidRPr="0077314C">
        <w:rPr>
          <w:rFonts w:eastAsia="Calibri"/>
          <w:szCs w:val="22"/>
        </w:rPr>
        <w:t>s přípravkem nejezte, nepijte a nekuřte.</w:t>
      </w:r>
    </w:p>
    <w:p w14:paraId="497A1C92" w14:textId="77777777" w:rsidR="00186998" w:rsidRPr="0077314C" w:rsidRDefault="00186998" w:rsidP="0018699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Zabraňte kontaktu přípravku s očima, přípravek může způsobit podráždění očí. </w:t>
      </w:r>
    </w:p>
    <w:p w14:paraId="6CA6F7CF" w14:textId="17FB5F59" w:rsidR="00186998" w:rsidRPr="0077314C" w:rsidRDefault="00186998" w:rsidP="0018699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>V případě náhodného zasažení očí je ihned vypláchněte velkým množstvím vody.</w:t>
      </w:r>
      <w:r w:rsidRPr="0077314C">
        <w:rPr>
          <w:rFonts w:eastAsia="Calibri"/>
          <w:szCs w:val="22"/>
        </w:rPr>
        <w:br/>
        <w:t>V případě náhodného po</w:t>
      </w:r>
      <w:r w:rsidR="00305A22">
        <w:rPr>
          <w:rFonts w:eastAsia="Calibri"/>
          <w:szCs w:val="22"/>
        </w:rPr>
        <w:t>žití</w:t>
      </w:r>
      <w:r w:rsidRPr="0077314C">
        <w:rPr>
          <w:rFonts w:eastAsia="Calibri"/>
          <w:szCs w:val="22"/>
        </w:rPr>
        <w:t xml:space="preserve"> nebo podráždění očí, vyhledejte lékařskou pomoc a ukažte příbalovou informaci nebo etiketu praktickému lékaři.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51F68" w:rsidP="009B438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ochranu životního prostředí:</w:t>
      </w:r>
    </w:p>
    <w:p w14:paraId="47390C4D" w14:textId="77777777" w:rsidR="00295140" w:rsidRPr="00B41D57" w:rsidRDefault="00295140" w:rsidP="009B438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2E9CB2A5" w:rsidR="00C114FF" w:rsidRPr="00B41D57" w:rsidRDefault="00351F6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20E720E9" w:rsidR="00295140" w:rsidRPr="00B41D57" w:rsidRDefault="00351F6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779895FB" w14:textId="511754F0" w:rsidR="006635DE" w:rsidRPr="0077314C" w:rsidRDefault="006635DE" w:rsidP="006635DE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proofErr w:type="spellStart"/>
      <w:r w:rsidRPr="0077314C">
        <w:rPr>
          <w:rFonts w:eastAsia="Calibri"/>
          <w:szCs w:val="22"/>
        </w:rPr>
        <w:t>Avermektiny</w:t>
      </w:r>
      <w:proofErr w:type="spellEnd"/>
      <w:r w:rsidRPr="0077314C">
        <w:rPr>
          <w:rFonts w:eastAsia="Calibri"/>
          <w:szCs w:val="22"/>
        </w:rPr>
        <w:t xml:space="preserve"> nemusí být dobře tolerovány u všech necílových druhů zvířat. Případy nesnášenlivosti jsou hlášeny u psů, zejména kolií, staroanglických pasteveckých psů a příbuzných ras nebo jejich kříženců, také u mořských a sladkovodních želv.</w:t>
      </w:r>
    </w:p>
    <w:p w14:paraId="33BEC090" w14:textId="77777777" w:rsidR="006635DE" w:rsidRPr="0077314C" w:rsidRDefault="006635DE" w:rsidP="006635DE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</w:p>
    <w:p w14:paraId="37EE20F7" w14:textId="77777777" w:rsidR="006635DE" w:rsidRPr="0077314C" w:rsidRDefault="006635DE" w:rsidP="006635DE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>Psi a kočky by neměli mít přístup ke zbytkům pasty nebo použitým aplikátorům z důvodu možnosti výskytu nežádoucích účinků spojených s toxicitou ivermektinu.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51F68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07224B24" w:rsidR="00AD0710" w:rsidRPr="00B41D57" w:rsidRDefault="009F23EF" w:rsidP="00AD0710">
      <w:pPr>
        <w:tabs>
          <w:tab w:val="clear" w:pos="567"/>
        </w:tabs>
        <w:spacing w:line="240" w:lineRule="auto"/>
        <w:rPr>
          <w:szCs w:val="22"/>
        </w:rPr>
      </w:pPr>
      <w:r>
        <w:t>Koně: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E1B08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351F68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49A95049" w:rsidR="00295140" w:rsidRPr="00B41D57" w:rsidRDefault="00351F68" w:rsidP="00617B8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21BF9AEA" w:rsidR="00295140" w:rsidRPr="00B41D57" w:rsidRDefault="00712F58" w:rsidP="00D6329F">
            <w:pPr>
              <w:spacing w:before="60" w:after="60"/>
              <w:rPr>
                <w:iCs/>
                <w:szCs w:val="22"/>
              </w:rPr>
            </w:pPr>
            <w:r w:rsidRPr="00712F58">
              <w:t>Otok¹, Anorexie²;</w:t>
            </w:r>
            <w:r w:rsidRPr="00712F58">
              <w:br/>
              <w:t>Svědění¹;</w:t>
            </w:r>
            <w:r w:rsidRPr="00712F58">
              <w:br/>
            </w:r>
            <w:r w:rsidR="00D6329F" w:rsidRPr="00712F58">
              <w:t>Kolikové bolesti²</w:t>
            </w:r>
            <w:r w:rsidR="00D6329F" w:rsidRPr="004B6EBA">
              <w:rPr>
                <w:vertAlign w:val="superscript"/>
              </w:rPr>
              <w:t>,</w:t>
            </w:r>
            <w:r w:rsidR="00D6329F" w:rsidRPr="00712F58">
              <w:t xml:space="preserve"> ³, Průjem²</w:t>
            </w:r>
            <w:r w:rsidR="00D6329F" w:rsidRPr="004B6EBA">
              <w:rPr>
                <w:vertAlign w:val="superscript"/>
              </w:rPr>
              <w:t>,</w:t>
            </w:r>
            <w:r w:rsidR="00D6329F" w:rsidRPr="00712F58">
              <w:t xml:space="preserve"> ³;</w:t>
            </w:r>
            <w:r w:rsidR="00D6329F">
              <w:t xml:space="preserve"> </w:t>
            </w:r>
            <w:r w:rsidRPr="00712F58">
              <w:t>Alergická reakce⁴ (jako je hypersalivace³, otok jazyka³, kopřivka,</w:t>
            </w:r>
            <w:r w:rsidR="00AB3692">
              <w:t xml:space="preserve"> </w:t>
            </w:r>
            <w:r w:rsidRPr="00712F58">
              <w:t>tachykardie, překrvení sliznic³, kožní edém).</w:t>
            </w:r>
          </w:p>
        </w:tc>
      </w:tr>
    </w:tbl>
    <w:p w14:paraId="1D616E5A" w14:textId="7F79E0CD" w:rsidR="00295140" w:rsidRDefault="00712F58" w:rsidP="00AD0710">
      <w:pPr>
        <w:tabs>
          <w:tab w:val="clear" w:pos="567"/>
        </w:tabs>
        <w:spacing w:line="240" w:lineRule="auto"/>
        <w:rPr>
          <w:szCs w:val="22"/>
        </w:rPr>
      </w:pPr>
      <w:r w:rsidRPr="00712F58">
        <w:rPr>
          <w:szCs w:val="22"/>
        </w:rPr>
        <w:t xml:space="preserve">¹ U koní s těžkou infekcí </w:t>
      </w:r>
      <w:proofErr w:type="spellStart"/>
      <w:r w:rsidR="009F23EF">
        <w:rPr>
          <w:i/>
          <w:iCs/>
        </w:rPr>
        <w:t>Onchocerca</w:t>
      </w:r>
      <w:proofErr w:type="spellEnd"/>
      <w:r w:rsidR="009F23EF">
        <w:rPr>
          <w:i/>
          <w:iCs/>
        </w:rPr>
        <w:t xml:space="preserve"> </w:t>
      </w:r>
      <w:proofErr w:type="spellStart"/>
      <w:r w:rsidR="009F23EF">
        <w:rPr>
          <w:i/>
          <w:iCs/>
        </w:rPr>
        <w:t>microfilariae</w:t>
      </w:r>
      <w:proofErr w:type="spellEnd"/>
      <w:r w:rsidRPr="00712F58">
        <w:rPr>
          <w:szCs w:val="22"/>
        </w:rPr>
        <w:t>, předpokládá se, že je to důsledek destrukce velkého množství mikrofilárií.</w:t>
      </w:r>
      <w:r w:rsidRPr="00712F58">
        <w:rPr>
          <w:szCs w:val="22"/>
        </w:rPr>
        <w:br/>
        <w:t>² Způsobeno destrukcí parazitů v případech velmi vysoké úrovně zamoření.</w:t>
      </w:r>
      <w:r w:rsidRPr="00712F58">
        <w:rPr>
          <w:szCs w:val="22"/>
        </w:rPr>
        <w:br/>
        <w:t>³ Mírné a přechodné.</w:t>
      </w:r>
      <w:r w:rsidRPr="00712F58">
        <w:rPr>
          <w:szCs w:val="22"/>
        </w:rPr>
        <w:br/>
        <w:t>⁴ Pokud tyto příznaky přetrvávají, je třeba se poradit s veterinárním lékařem.</w:t>
      </w:r>
    </w:p>
    <w:p w14:paraId="68BE4804" w14:textId="77777777" w:rsidR="00712F58" w:rsidRPr="00B41D57" w:rsidRDefault="00712F5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959A4F2" w:rsidR="00247A48" w:rsidRDefault="00351F68" w:rsidP="00247A48"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jeho místnímu zástupci, nebo příslušnému vnitrostátnímu orgánu prostřednictvím národního systému hlášení. Podrobné kontaktní údaje naleznete v příbalové informac</w:t>
      </w:r>
      <w:r w:rsidR="00083542"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51F68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282C3F52" w:rsidR="00C114FF" w:rsidRPr="003C75AA" w:rsidRDefault="00351F68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F23EF">
        <w:rPr>
          <w:u w:val="single"/>
        </w:rPr>
        <w:t>Březost</w:t>
      </w:r>
      <w:r w:rsidR="007A17CC" w:rsidRPr="003C75AA">
        <w:rPr>
          <w:u w:val="single"/>
        </w:rPr>
        <w:t xml:space="preserve"> </w:t>
      </w:r>
      <w:r w:rsidRPr="009F23EF">
        <w:rPr>
          <w:szCs w:val="22"/>
          <w:u w:val="single"/>
        </w:rPr>
        <w:t>a laktace</w:t>
      </w:r>
      <w:r w:rsidRPr="003C75AA">
        <w:rPr>
          <w:u w:val="single"/>
        </w:rPr>
        <w:t>:</w:t>
      </w:r>
    </w:p>
    <w:p w14:paraId="5FA8BA7C" w14:textId="12474D22" w:rsidR="007A17CC" w:rsidRPr="00B41D57" w:rsidRDefault="00A83010" w:rsidP="007A17CC">
      <w:pPr>
        <w:tabs>
          <w:tab w:val="clear" w:pos="567"/>
        </w:tabs>
        <w:spacing w:line="240" w:lineRule="auto"/>
        <w:rPr>
          <w:szCs w:val="22"/>
        </w:rPr>
      </w:pPr>
      <w:r>
        <w:rPr>
          <w:rFonts w:eastAsia="Calibri"/>
          <w:szCs w:val="22"/>
        </w:rPr>
        <w:t xml:space="preserve">Lze </w:t>
      </w:r>
      <w:r w:rsidR="007A17CC" w:rsidRPr="0077314C">
        <w:rPr>
          <w:rFonts w:eastAsia="Calibri"/>
          <w:szCs w:val="22"/>
        </w:rPr>
        <w:t>použí</w:t>
      </w:r>
      <w:r>
        <w:rPr>
          <w:rFonts w:eastAsia="Calibri"/>
          <w:szCs w:val="22"/>
        </w:rPr>
        <w:t>t</w:t>
      </w:r>
      <w:r w:rsidR="007A17CC" w:rsidRPr="0077314C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během </w:t>
      </w:r>
      <w:r w:rsidR="007A17CC" w:rsidRPr="0077314C">
        <w:rPr>
          <w:rFonts w:eastAsia="Calibri"/>
          <w:szCs w:val="22"/>
        </w:rPr>
        <w:t>březosti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51F68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22CF7CE5" w:rsidR="00C114FF" w:rsidRPr="00B41D57" w:rsidRDefault="00351F6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51F6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034411" w14:textId="77777777" w:rsidR="00DB4870" w:rsidRPr="0077314C" w:rsidRDefault="00DB4870" w:rsidP="00DB4870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>Perorální podání.</w:t>
      </w:r>
    </w:p>
    <w:p w14:paraId="3B573298" w14:textId="77777777" w:rsidR="00DB4870" w:rsidRPr="0077314C" w:rsidRDefault="00DB4870" w:rsidP="00DB4870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br/>
        <w:t>Jednorázové podání.</w:t>
      </w:r>
      <w:r w:rsidRPr="0077314C">
        <w:rPr>
          <w:rFonts w:eastAsia="Calibri"/>
          <w:szCs w:val="22"/>
        </w:rPr>
        <w:br/>
      </w:r>
    </w:p>
    <w:p w14:paraId="1B3CB2C9" w14:textId="083BE469" w:rsidR="00DB4870" w:rsidRPr="0077314C" w:rsidRDefault="00DB4870" w:rsidP="00DB4870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200 </w:t>
      </w:r>
      <w:r w:rsidRPr="0077314C">
        <w:rPr>
          <w:iCs/>
          <w:szCs w:val="22"/>
        </w:rPr>
        <w:t>µg</w:t>
      </w:r>
      <w:r w:rsidRPr="0077314C">
        <w:rPr>
          <w:rFonts w:eastAsia="Calibri"/>
          <w:szCs w:val="22"/>
        </w:rPr>
        <w:t xml:space="preserve"> </w:t>
      </w:r>
      <w:proofErr w:type="spellStart"/>
      <w:r w:rsidRPr="0077314C">
        <w:rPr>
          <w:rFonts w:eastAsia="Calibri"/>
          <w:szCs w:val="22"/>
        </w:rPr>
        <w:t>ivermektinu</w:t>
      </w:r>
      <w:proofErr w:type="spellEnd"/>
      <w:r w:rsidRPr="0077314C">
        <w:rPr>
          <w:rFonts w:eastAsia="Calibri"/>
          <w:szCs w:val="22"/>
        </w:rPr>
        <w:t xml:space="preserve"> a 1,5 mg </w:t>
      </w:r>
      <w:proofErr w:type="spellStart"/>
      <w:r w:rsidRPr="0077314C">
        <w:rPr>
          <w:rFonts w:eastAsia="Calibri"/>
          <w:szCs w:val="22"/>
        </w:rPr>
        <w:t>prazikvantelu</w:t>
      </w:r>
      <w:proofErr w:type="spellEnd"/>
      <w:r w:rsidR="00A83010">
        <w:rPr>
          <w:rFonts w:eastAsia="Calibri"/>
          <w:szCs w:val="22"/>
        </w:rPr>
        <w:t>/</w:t>
      </w:r>
      <w:r w:rsidRPr="0077314C">
        <w:rPr>
          <w:rFonts w:eastAsia="Calibri"/>
          <w:szCs w:val="22"/>
        </w:rPr>
        <w:t>kg</w:t>
      </w:r>
      <w:r w:rsidR="00A83010">
        <w:rPr>
          <w:rFonts w:eastAsia="Calibri"/>
          <w:szCs w:val="22"/>
        </w:rPr>
        <w:t xml:space="preserve"> živé hmotnosti</w:t>
      </w:r>
      <w:r w:rsidRPr="0077314C">
        <w:rPr>
          <w:rFonts w:eastAsia="Calibri"/>
          <w:szCs w:val="22"/>
        </w:rPr>
        <w:t>, což odpovídá 1,07 g pasty</w:t>
      </w:r>
      <w:r w:rsidR="00A83010">
        <w:rPr>
          <w:rFonts w:eastAsia="Calibri"/>
          <w:szCs w:val="22"/>
        </w:rPr>
        <w:t>/</w:t>
      </w:r>
      <w:r w:rsidRPr="0077314C">
        <w:rPr>
          <w:rFonts w:eastAsia="Calibri"/>
          <w:szCs w:val="22"/>
        </w:rPr>
        <w:t xml:space="preserve">100 kg </w:t>
      </w:r>
      <w:r w:rsidR="00A83010">
        <w:rPr>
          <w:rFonts w:eastAsia="Calibri"/>
          <w:szCs w:val="22"/>
        </w:rPr>
        <w:t>živé hmotnosti</w:t>
      </w:r>
      <w:r w:rsidRPr="0077314C">
        <w:rPr>
          <w:rFonts w:eastAsia="Calibri"/>
          <w:szCs w:val="22"/>
        </w:rPr>
        <w:t>.</w:t>
      </w:r>
    </w:p>
    <w:p w14:paraId="02A37A07" w14:textId="4429EF3F" w:rsidR="00DB4870" w:rsidRPr="0077314C" w:rsidRDefault="004D0A91" w:rsidP="00DB4870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>
        <w:rPr>
          <w:rFonts w:eastAsia="Calibri"/>
          <w:szCs w:val="22"/>
        </w:rPr>
        <w:t xml:space="preserve">Pro </w:t>
      </w:r>
      <w:r w:rsidR="00DB4870" w:rsidRPr="0077314C">
        <w:rPr>
          <w:rFonts w:eastAsia="Calibri"/>
          <w:szCs w:val="22"/>
        </w:rPr>
        <w:t xml:space="preserve">zajištění správného dávkování je </w:t>
      </w:r>
      <w:r>
        <w:rPr>
          <w:rFonts w:eastAsia="Calibri"/>
          <w:szCs w:val="22"/>
        </w:rPr>
        <w:t xml:space="preserve">třeba </w:t>
      </w:r>
      <w:r w:rsidR="00DB4870" w:rsidRPr="0077314C">
        <w:rPr>
          <w:rFonts w:eastAsia="Calibri"/>
          <w:szCs w:val="22"/>
        </w:rPr>
        <w:t>co nejpřesněj</w:t>
      </w:r>
      <w:r>
        <w:rPr>
          <w:rFonts w:eastAsia="Calibri"/>
          <w:szCs w:val="22"/>
        </w:rPr>
        <w:t>i stanovit živou</w:t>
      </w:r>
      <w:r w:rsidR="00DB4870" w:rsidRPr="0077314C">
        <w:rPr>
          <w:rFonts w:eastAsia="Calibri"/>
          <w:szCs w:val="22"/>
        </w:rPr>
        <w:t xml:space="preserve"> hmotnost</w:t>
      </w:r>
      <w:r>
        <w:rPr>
          <w:rFonts w:eastAsia="Calibri"/>
          <w:szCs w:val="22"/>
        </w:rPr>
        <w:t xml:space="preserve">. </w:t>
      </w:r>
      <w:proofErr w:type="spellStart"/>
      <w:r>
        <w:rPr>
          <w:rFonts w:eastAsia="Calibri"/>
          <w:szCs w:val="22"/>
        </w:rPr>
        <w:t>P</w:t>
      </w:r>
      <w:r w:rsidR="00DB4870" w:rsidRPr="0077314C">
        <w:rPr>
          <w:rFonts w:eastAsia="Calibri"/>
          <w:szCs w:val="22"/>
        </w:rPr>
        <w:t>oddávkování</w:t>
      </w:r>
      <w:proofErr w:type="spellEnd"/>
      <w:r>
        <w:rPr>
          <w:rFonts w:eastAsia="Calibri"/>
          <w:szCs w:val="22"/>
        </w:rPr>
        <w:t xml:space="preserve"> by mohlo</w:t>
      </w:r>
      <w:r w:rsidR="00DB4870" w:rsidRPr="0077314C">
        <w:rPr>
          <w:rFonts w:eastAsia="Calibri"/>
          <w:szCs w:val="22"/>
        </w:rPr>
        <w:t xml:space="preserve"> vést k </w:t>
      </w:r>
      <w:r>
        <w:rPr>
          <w:rFonts w:eastAsia="Calibri"/>
          <w:szCs w:val="22"/>
        </w:rPr>
        <w:t>neúčinnému použití a mohlo by podpořit rozvoj rezistence</w:t>
      </w:r>
      <w:r w:rsidR="00DB4870" w:rsidRPr="0077314C">
        <w:rPr>
          <w:rFonts w:eastAsia="Calibri"/>
          <w:szCs w:val="22"/>
        </w:rPr>
        <w:t>.</w:t>
      </w:r>
    </w:p>
    <w:p w14:paraId="548D0A13" w14:textId="77777777" w:rsidR="00DB4870" w:rsidRPr="0077314C" w:rsidRDefault="00DB4870" w:rsidP="00DB4870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876"/>
        <w:gridCol w:w="1261"/>
        <w:gridCol w:w="876"/>
      </w:tblGrid>
      <w:tr w:rsidR="00DB4870" w:rsidRPr="0077314C" w14:paraId="3BC3C9CD" w14:textId="77777777" w:rsidTr="00F61FB7">
        <w:trPr>
          <w:jc w:val="center"/>
        </w:trPr>
        <w:tc>
          <w:tcPr>
            <w:tcW w:w="0" w:type="auto"/>
          </w:tcPr>
          <w:p w14:paraId="41C86933" w14:textId="77777777" w:rsidR="00DB4870" w:rsidRPr="004D0A91" w:rsidRDefault="00DB4870" w:rsidP="007744A9">
            <w:pPr>
              <w:widowControl w:val="0"/>
              <w:jc w:val="center"/>
              <w:rPr>
                <w:b/>
                <w:szCs w:val="22"/>
              </w:rPr>
            </w:pPr>
            <w:r w:rsidRPr="007744A9">
              <w:rPr>
                <w:b/>
                <w:szCs w:val="22"/>
              </w:rPr>
              <w:t>Hmotnost</w:t>
            </w:r>
          </w:p>
        </w:tc>
        <w:tc>
          <w:tcPr>
            <w:tcW w:w="0" w:type="auto"/>
          </w:tcPr>
          <w:p w14:paraId="4078A265" w14:textId="77777777" w:rsidR="00DB4870" w:rsidRPr="004D0A91" w:rsidRDefault="00DB4870" w:rsidP="007744A9">
            <w:pPr>
              <w:widowControl w:val="0"/>
              <w:jc w:val="center"/>
              <w:rPr>
                <w:b/>
                <w:szCs w:val="22"/>
              </w:rPr>
            </w:pPr>
            <w:r w:rsidRPr="00C7649C">
              <w:rPr>
                <w:b/>
                <w:szCs w:val="22"/>
              </w:rPr>
              <w:t>Dávka</w:t>
            </w:r>
          </w:p>
        </w:tc>
        <w:tc>
          <w:tcPr>
            <w:tcW w:w="0" w:type="auto"/>
          </w:tcPr>
          <w:p w14:paraId="6EFAC080" w14:textId="77777777" w:rsidR="00DB4870" w:rsidRPr="004D0A91" w:rsidRDefault="00DB4870" w:rsidP="007744A9">
            <w:pPr>
              <w:widowControl w:val="0"/>
              <w:jc w:val="center"/>
              <w:rPr>
                <w:b/>
                <w:szCs w:val="22"/>
              </w:rPr>
            </w:pPr>
            <w:r w:rsidRPr="00C7649C">
              <w:rPr>
                <w:b/>
                <w:szCs w:val="22"/>
              </w:rPr>
              <w:t>Hmotnost</w:t>
            </w:r>
          </w:p>
        </w:tc>
        <w:tc>
          <w:tcPr>
            <w:tcW w:w="0" w:type="auto"/>
          </w:tcPr>
          <w:p w14:paraId="24B7D71A" w14:textId="77777777" w:rsidR="00DB4870" w:rsidRPr="004D0A91" w:rsidRDefault="00DB4870" w:rsidP="007744A9">
            <w:pPr>
              <w:widowControl w:val="0"/>
              <w:jc w:val="center"/>
              <w:rPr>
                <w:b/>
                <w:szCs w:val="22"/>
              </w:rPr>
            </w:pPr>
            <w:r w:rsidRPr="00C7649C">
              <w:rPr>
                <w:b/>
                <w:szCs w:val="22"/>
              </w:rPr>
              <w:t>Dávka</w:t>
            </w:r>
          </w:p>
        </w:tc>
      </w:tr>
      <w:tr w:rsidR="00DB4870" w:rsidRPr="0077314C" w14:paraId="34B7272C" w14:textId="77777777" w:rsidTr="00F61FB7">
        <w:trPr>
          <w:jc w:val="center"/>
        </w:trPr>
        <w:tc>
          <w:tcPr>
            <w:tcW w:w="0" w:type="auto"/>
          </w:tcPr>
          <w:p w14:paraId="612190A4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do 100 kg</w:t>
            </w:r>
          </w:p>
        </w:tc>
        <w:tc>
          <w:tcPr>
            <w:tcW w:w="0" w:type="auto"/>
          </w:tcPr>
          <w:p w14:paraId="5FB6D53E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1,070 g</w:t>
            </w:r>
          </w:p>
        </w:tc>
        <w:tc>
          <w:tcPr>
            <w:tcW w:w="0" w:type="auto"/>
          </w:tcPr>
          <w:p w14:paraId="041F9A6C" w14:textId="0EF03F7A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401–450 kg</w:t>
            </w:r>
          </w:p>
        </w:tc>
        <w:tc>
          <w:tcPr>
            <w:tcW w:w="0" w:type="auto"/>
          </w:tcPr>
          <w:p w14:paraId="4B73CE1E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4,815 g</w:t>
            </w:r>
          </w:p>
        </w:tc>
      </w:tr>
      <w:tr w:rsidR="00DB4870" w:rsidRPr="0077314C" w14:paraId="6262A06D" w14:textId="77777777" w:rsidTr="00F61FB7">
        <w:trPr>
          <w:jc w:val="center"/>
        </w:trPr>
        <w:tc>
          <w:tcPr>
            <w:tcW w:w="0" w:type="auto"/>
          </w:tcPr>
          <w:p w14:paraId="71668764" w14:textId="2765FA35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101–150 kg</w:t>
            </w:r>
          </w:p>
        </w:tc>
        <w:tc>
          <w:tcPr>
            <w:tcW w:w="0" w:type="auto"/>
          </w:tcPr>
          <w:p w14:paraId="05650151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1,605 g</w:t>
            </w:r>
          </w:p>
        </w:tc>
        <w:tc>
          <w:tcPr>
            <w:tcW w:w="0" w:type="auto"/>
          </w:tcPr>
          <w:p w14:paraId="0EF028D1" w14:textId="44442BD5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451–500 kg</w:t>
            </w:r>
          </w:p>
        </w:tc>
        <w:tc>
          <w:tcPr>
            <w:tcW w:w="0" w:type="auto"/>
          </w:tcPr>
          <w:p w14:paraId="2E5A89BB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5,350 g</w:t>
            </w:r>
          </w:p>
        </w:tc>
      </w:tr>
      <w:tr w:rsidR="00DB4870" w:rsidRPr="0077314C" w14:paraId="2F5F29A1" w14:textId="77777777" w:rsidTr="00F61FB7">
        <w:trPr>
          <w:jc w:val="center"/>
        </w:trPr>
        <w:tc>
          <w:tcPr>
            <w:tcW w:w="0" w:type="auto"/>
          </w:tcPr>
          <w:p w14:paraId="7CB15919" w14:textId="2387D6C0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lastRenderedPageBreak/>
              <w:t>151–200 kg</w:t>
            </w:r>
          </w:p>
        </w:tc>
        <w:tc>
          <w:tcPr>
            <w:tcW w:w="0" w:type="auto"/>
          </w:tcPr>
          <w:p w14:paraId="3AB41CAD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2,140 g</w:t>
            </w:r>
          </w:p>
        </w:tc>
        <w:tc>
          <w:tcPr>
            <w:tcW w:w="0" w:type="auto"/>
          </w:tcPr>
          <w:p w14:paraId="2ABCF7C9" w14:textId="79A79EE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501–550 kg</w:t>
            </w:r>
          </w:p>
        </w:tc>
        <w:tc>
          <w:tcPr>
            <w:tcW w:w="0" w:type="auto"/>
          </w:tcPr>
          <w:p w14:paraId="2E7A92D1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5,885 g</w:t>
            </w:r>
          </w:p>
        </w:tc>
      </w:tr>
      <w:tr w:rsidR="00DB4870" w:rsidRPr="0077314C" w14:paraId="10C79E61" w14:textId="77777777" w:rsidTr="00F61FB7">
        <w:trPr>
          <w:jc w:val="center"/>
        </w:trPr>
        <w:tc>
          <w:tcPr>
            <w:tcW w:w="0" w:type="auto"/>
          </w:tcPr>
          <w:p w14:paraId="70CCC6D3" w14:textId="32D0CDE9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201–250 kg</w:t>
            </w:r>
          </w:p>
        </w:tc>
        <w:tc>
          <w:tcPr>
            <w:tcW w:w="0" w:type="auto"/>
          </w:tcPr>
          <w:p w14:paraId="7AF47579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2,675 g</w:t>
            </w:r>
          </w:p>
        </w:tc>
        <w:tc>
          <w:tcPr>
            <w:tcW w:w="0" w:type="auto"/>
          </w:tcPr>
          <w:p w14:paraId="0F4BA7A9" w14:textId="0FBF538C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551–600 kg</w:t>
            </w:r>
          </w:p>
        </w:tc>
        <w:tc>
          <w:tcPr>
            <w:tcW w:w="0" w:type="auto"/>
          </w:tcPr>
          <w:p w14:paraId="646BA5E1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6,420 g</w:t>
            </w:r>
          </w:p>
        </w:tc>
      </w:tr>
      <w:tr w:rsidR="00DB4870" w:rsidRPr="0077314C" w14:paraId="2AC25E2F" w14:textId="77777777" w:rsidTr="00F61FB7">
        <w:trPr>
          <w:jc w:val="center"/>
        </w:trPr>
        <w:tc>
          <w:tcPr>
            <w:tcW w:w="0" w:type="auto"/>
          </w:tcPr>
          <w:p w14:paraId="5513A975" w14:textId="7F3086DA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251–300 kg</w:t>
            </w:r>
          </w:p>
        </w:tc>
        <w:tc>
          <w:tcPr>
            <w:tcW w:w="0" w:type="auto"/>
          </w:tcPr>
          <w:p w14:paraId="6E58CC83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3,210 g</w:t>
            </w:r>
          </w:p>
        </w:tc>
        <w:tc>
          <w:tcPr>
            <w:tcW w:w="0" w:type="auto"/>
          </w:tcPr>
          <w:p w14:paraId="5FAAA3B7" w14:textId="6C758BDD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601–650 kg</w:t>
            </w:r>
          </w:p>
        </w:tc>
        <w:tc>
          <w:tcPr>
            <w:tcW w:w="0" w:type="auto"/>
          </w:tcPr>
          <w:p w14:paraId="30579380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6,955 g</w:t>
            </w:r>
          </w:p>
        </w:tc>
      </w:tr>
      <w:tr w:rsidR="00DB4870" w:rsidRPr="0077314C" w14:paraId="3DC9131F" w14:textId="77777777" w:rsidTr="00F61FB7">
        <w:trPr>
          <w:jc w:val="center"/>
        </w:trPr>
        <w:tc>
          <w:tcPr>
            <w:tcW w:w="0" w:type="auto"/>
          </w:tcPr>
          <w:p w14:paraId="7DA3EBE4" w14:textId="785D34CE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301–350 kg</w:t>
            </w:r>
          </w:p>
        </w:tc>
        <w:tc>
          <w:tcPr>
            <w:tcW w:w="0" w:type="auto"/>
          </w:tcPr>
          <w:p w14:paraId="149D7A39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3,745 g</w:t>
            </w:r>
          </w:p>
        </w:tc>
        <w:tc>
          <w:tcPr>
            <w:tcW w:w="0" w:type="auto"/>
          </w:tcPr>
          <w:p w14:paraId="7866A1DD" w14:textId="1AA71D00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651–700 kg</w:t>
            </w:r>
          </w:p>
        </w:tc>
        <w:tc>
          <w:tcPr>
            <w:tcW w:w="0" w:type="auto"/>
          </w:tcPr>
          <w:p w14:paraId="145C8E3A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7,490 g</w:t>
            </w:r>
          </w:p>
        </w:tc>
      </w:tr>
      <w:tr w:rsidR="00DB4870" w:rsidRPr="0077314C" w14:paraId="429871ED" w14:textId="77777777" w:rsidTr="00F61FB7">
        <w:trPr>
          <w:jc w:val="center"/>
        </w:trPr>
        <w:tc>
          <w:tcPr>
            <w:tcW w:w="0" w:type="auto"/>
          </w:tcPr>
          <w:p w14:paraId="65EF741C" w14:textId="460BD688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351–400 kg</w:t>
            </w:r>
          </w:p>
        </w:tc>
        <w:tc>
          <w:tcPr>
            <w:tcW w:w="0" w:type="auto"/>
          </w:tcPr>
          <w:p w14:paraId="2E464CEF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  <w:r w:rsidRPr="0077314C">
              <w:rPr>
                <w:szCs w:val="22"/>
              </w:rPr>
              <w:t>4,280 g</w:t>
            </w:r>
          </w:p>
        </w:tc>
        <w:tc>
          <w:tcPr>
            <w:tcW w:w="0" w:type="auto"/>
          </w:tcPr>
          <w:p w14:paraId="5A0242D7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14:paraId="23CB2007" w14:textId="77777777" w:rsidR="00DB4870" w:rsidRPr="0077314C" w:rsidRDefault="00DB4870" w:rsidP="00C7649C">
            <w:pPr>
              <w:widowControl w:val="0"/>
              <w:jc w:val="center"/>
              <w:rPr>
                <w:b/>
                <w:szCs w:val="22"/>
              </w:rPr>
            </w:pPr>
          </w:p>
        </w:tc>
      </w:tr>
    </w:tbl>
    <w:p w14:paraId="6D577294" w14:textId="77777777" w:rsidR="00DB4870" w:rsidRPr="0077314C" w:rsidRDefault="00DB4870" w:rsidP="00DB4870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</w:p>
    <w:p w14:paraId="4ED37DAB" w14:textId="4F31E889" w:rsidR="00DB4870" w:rsidRPr="0077314C" w:rsidRDefault="00DB4870" w:rsidP="00DB4870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První díl aplikátoru dávkuje množství pasty dostatečné k léčbě 50 kg </w:t>
      </w:r>
      <w:r w:rsidR="00130DC0">
        <w:rPr>
          <w:rFonts w:eastAsia="Calibri"/>
          <w:szCs w:val="22"/>
        </w:rPr>
        <w:t>živé hmotnosti</w:t>
      </w:r>
      <w:r w:rsidRPr="0077314C">
        <w:rPr>
          <w:rFonts w:eastAsia="Calibri"/>
          <w:szCs w:val="22"/>
        </w:rPr>
        <w:t>.</w:t>
      </w:r>
      <w:r w:rsidRPr="0077314C">
        <w:rPr>
          <w:rFonts w:eastAsia="Calibri"/>
          <w:szCs w:val="22"/>
        </w:rPr>
        <w:br/>
      </w:r>
    </w:p>
    <w:p w14:paraId="2288E429" w14:textId="77777777" w:rsidR="00DB4870" w:rsidRPr="0077314C" w:rsidRDefault="00DB4870" w:rsidP="00DB4870">
      <w:pPr>
        <w:widowControl w:val="0"/>
        <w:autoSpaceDE w:val="0"/>
        <w:autoSpaceDN w:val="0"/>
        <w:adjustRightInd w:val="0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>Každý další díl aplikátoru poskytne dostatečný objem pasty k léčbě 50 kg živé hmotnosti. Aplikátor nastavte dle vypočítané dávky posunutím kroužku na odpovídající rysku na pístu.</w:t>
      </w:r>
    </w:p>
    <w:p w14:paraId="78A5C6F7" w14:textId="77777777" w:rsidR="00DB4870" w:rsidRPr="00B41D57" w:rsidRDefault="00DB4870" w:rsidP="00DB4870">
      <w:pPr>
        <w:tabs>
          <w:tab w:val="clear" w:pos="567"/>
        </w:tabs>
        <w:spacing w:line="240" w:lineRule="auto"/>
        <w:rPr>
          <w:szCs w:val="22"/>
        </w:rPr>
      </w:pPr>
      <w:r w:rsidRPr="0077314C">
        <w:rPr>
          <w:rFonts w:eastAsia="Calibri"/>
          <w:szCs w:val="22"/>
        </w:rPr>
        <w:t>Aplikátor o obsahu 7,49 g poskytne dostatek pasty k léčbě 700 kg živé hmotnosti při doporučeném dávkování.</w:t>
      </w:r>
    </w:p>
    <w:p w14:paraId="3EAB22ED" w14:textId="77777777" w:rsidR="00247A48" w:rsidRPr="00B41D57" w:rsidRDefault="00247A48" w:rsidP="00247A48">
      <w:pPr>
        <w:rPr>
          <w:szCs w:val="22"/>
        </w:rPr>
      </w:pPr>
    </w:p>
    <w:p w14:paraId="22D011C3" w14:textId="6A452FFD" w:rsidR="00237140" w:rsidRPr="00C7649C" w:rsidRDefault="00237140" w:rsidP="00237140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7649C">
        <w:rPr>
          <w:b/>
          <w:bCs/>
          <w:szCs w:val="22"/>
        </w:rPr>
        <w:t>Návod k použití:</w:t>
      </w:r>
    </w:p>
    <w:p w14:paraId="11E12EB5" w14:textId="316AE0CB" w:rsidR="00582E69" w:rsidRPr="00C7649C" w:rsidRDefault="00582E69" w:rsidP="00582E69">
      <w:pPr>
        <w:tabs>
          <w:tab w:val="clear" w:pos="567"/>
        </w:tabs>
        <w:spacing w:line="240" w:lineRule="auto"/>
        <w:rPr>
          <w:szCs w:val="22"/>
        </w:rPr>
      </w:pPr>
    </w:p>
    <w:p w14:paraId="070D7178" w14:textId="48B2B466" w:rsidR="009F23EF" w:rsidRPr="00C7649C" w:rsidRDefault="009F23EF" w:rsidP="009F23EF">
      <w:pPr>
        <w:widowControl w:val="0"/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C7649C">
        <w:rPr>
          <w:rFonts w:eastAsia="Calibri"/>
          <w:szCs w:val="22"/>
        </w:rPr>
        <w:t xml:space="preserve">Před podáním nastavte aplikátor dle </w:t>
      </w:r>
      <w:r w:rsidR="008F7502">
        <w:rPr>
          <w:rFonts w:eastAsia="Calibri"/>
          <w:szCs w:val="22"/>
        </w:rPr>
        <w:t>vypočíta</w:t>
      </w:r>
      <w:r w:rsidRPr="00C7649C">
        <w:rPr>
          <w:rFonts w:eastAsia="Calibri"/>
          <w:szCs w:val="22"/>
        </w:rPr>
        <w:t xml:space="preserve">né dávky posunutím kroužku na odpovídající rysku na pístu. </w:t>
      </w:r>
    </w:p>
    <w:p w14:paraId="29C6C1B1" w14:textId="77777777" w:rsidR="009F23EF" w:rsidRPr="00C7649C" w:rsidRDefault="009F23EF" w:rsidP="009F23EF">
      <w:pPr>
        <w:widowControl w:val="0"/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C7649C">
        <w:rPr>
          <w:rFonts w:eastAsia="Calibri"/>
          <w:szCs w:val="22"/>
        </w:rPr>
        <w:t>Pasta se podává perorálně zasunutím trysky aplikátoru mezizubním prostorem a deponováním potřebného množství pasty na kořen jazyka. Tlama zvířete by neměla obsahovat žádné zbytky potravy. Po podání ihned nadzdvihněte hlavu koně na několik vteřin tak, aby došlo k zabezpečení řádného spolknutí dávky.</w:t>
      </w:r>
    </w:p>
    <w:p w14:paraId="49016683" w14:textId="7053749C" w:rsidR="009F23EF" w:rsidRPr="00C7649C" w:rsidRDefault="009F23EF" w:rsidP="009F23EF">
      <w:pPr>
        <w:widowControl w:val="0"/>
        <w:jc w:val="both"/>
        <w:rPr>
          <w:rFonts w:eastAsia="Calibri"/>
          <w:szCs w:val="22"/>
        </w:rPr>
      </w:pPr>
      <w:r w:rsidRPr="00C7649C">
        <w:rPr>
          <w:rFonts w:eastAsia="Calibri"/>
          <w:szCs w:val="22"/>
        </w:rPr>
        <w:t>S veterinárním lékařem je nutné konzultovat frekvenci podávání antiparazitárních přípravků a chovatelská opatření v hospodářství k zajištění účinné</w:t>
      </w:r>
      <w:r w:rsidR="008F7502">
        <w:rPr>
          <w:rFonts w:eastAsia="Calibri"/>
          <w:szCs w:val="22"/>
        </w:rPr>
        <w:t>ho potlačení</w:t>
      </w:r>
      <w:r w:rsidRPr="00C7649C">
        <w:rPr>
          <w:rFonts w:eastAsia="Calibri"/>
          <w:szCs w:val="22"/>
        </w:rPr>
        <w:t xml:space="preserve"> parazitů</w:t>
      </w:r>
      <w:r w:rsidR="00975145" w:rsidRPr="00C7649C">
        <w:rPr>
          <w:rFonts w:eastAsia="Calibri"/>
          <w:szCs w:val="22"/>
        </w:rPr>
        <w:t>,</w:t>
      </w:r>
      <w:r w:rsidRPr="00C7649C">
        <w:rPr>
          <w:rFonts w:eastAsia="Calibri"/>
          <w:szCs w:val="22"/>
        </w:rPr>
        <w:t xml:space="preserve"> a to jak pro infestace tasemnicemi</w:t>
      </w:r>
      <w:r w:rsidR="00975145" w:rsidRPr="00C7649C">
        <w:rPr>
          <w:rFonts w:eastAsia="Calibri"/>
          <w:szCs w:val="22"/>
        </w:rPr>
        <w:t>,</w:t>
      </w:r>
      <w:r w:rsidRPr="00C7649C">
        <w:rPr>
          <w:rFonts w:eastAsia="Calibri"/>
          <w:szCs w:val="22"/>
        </w:rPr>
        <w:t xml:space="preserve"> tak </w:t>
      </w:r>
      <w:r w:rsidR="00843FCF">
        <w:rPr>
          <w:rFonts w:eastAsia="Calibri"/>
          <w:szCs w:val="22"/>
        </w:rPr>
        <w:t>hlísticemi</w:t>
      </w:r>
      <w:r w:rsidRPr="00C7649C">
        <w:rPr>
          <w:rFonts w:eastAsia="Calibri"/>
          <w:szCs w:val="22"/>
        </w:rPr>
        <w:t xml:space="preserve">. </w:t>
      </w:r>
    </w:p>
    <w:p w14:paraId="3ABF3907" w14:textId="77777777" w:rsidR="00582E69" w:rsidRPr="00B41D57" w:rsidRDefault="00582E69" w:rsidP="00582E69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51F68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2871A6" w14:textId="7503324A" w:rsidR="00582E69" w:rsidRPr="0077314C" w:rsidRDefault="00582E69" w:rsidP="00582E69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bookmarkStart w:id="1" w:name="_Hlk203130341"/>
      <w:r w:rsidRPr="0077314C">
        <w:rPr>
          <w:rFonts w:eastAsia="Calibri"/>
          <w:szCs w:val="22"/>
        </w:rPr>
        <w:t xml:space="preserve">Studie snášenlivosti uskutečněná na hříbatech starších 2 týdnů věku při </w:t>
      </w:r>
      <w:r w:rsidR="00843FCF" w:rsidRPr="0077314C">
        <w:rPr>
          <w:rFonts w:eastAsia="Calibri"/>
          <w:szCs w:val="22"/>
        </w:rPr>
        <w:t>5násobných</w:t>
      </w:r>
      <w:r w:rsidRPr="0077314C">
        <w:rPr>
          <w:rFonts w:eastAsia="Calibri"/>
          <w:szCs w:val="22"/>
        </w:rPr>
        <w:t xml:space="preserve"> doporučených dávkách nepřinesla žádné </w:t>
      </w:r>
      <w:r w:rsidR="008F7502">
        <w:rPr>
          <w:rFonts w:eastAsia="Calibri"/>
          <w:szCs w:val="22"/>
        </w:rPr>
        <w:t>nežádoucí</w:t>
      </w:r>
      <w:r w:rsidR="008F7502" w:rsidRPr="0077314C">
        <w:rPr>
          <w:rFonts w:eastAsia="Calibri"/>
          <w:szCs w:val="22"/>
        </w:rPr>
        <w:t xml:space="preserve"> </w:t>
      </w:r>
      <w:r w:rsidRPr="0077314C">
        <w:rPr>
          <w:rFonts w:eastAsia="Calibri"/>
          <w:szCs w:val="22"/>
        </w:rPr>
        <w:t>účinky.</w:t>
      </w:r>
    </w:p>
    <w:p w14:paraId="1E9C9565" w14:textId="77777777" w:rsidR="00582E69" w:rsidRPr="0077314C" w:rsidRDefault="00582E69" w:rsidP="00582E69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</w:p>
    <w:p w14:paraId="781BFDFC" w14:textId="1DD76254" w:rsidR="00582E69" w:rsidRPr="0077314C" w:rsidRDefault="00582E69" w:rsidP="00582E69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Studie bezpečnosti </w:t>
      </w:r>
      <w:r w:rsidR="008F7502">
        <w:rPr>
          <w:rFonts w:eastAsia="Calibri"/>
          <w:szCs w:val="22"/>
        </w:rPr>
        <w:t xml:space="preserve">provedené </w:t>
      </w:r>
      <w:r w:rsidR="008F7502" w:rsidRPr="0077314C">
        <w:rPr>
          <w:rFonts w:eastAsia="Calibri"/>
          <w:szCs w:val="22"/>
        </w:rPr>
        <w:t>u klisen</w:t>
      </w:r>
      <w:r w:rsidR="008F7502">
        <w:rPr>
          <w:rFonts w:eastAsia="Calibri"/>
          <w:szCs w:val="22"/>
        </w:rPr>
        <w:t xml:space="preserve">, </w:t>
      </w:r>
      <w:r w:rsidR="008F7502" w:rsidRPr="008F7502">
        <w:rPr>
          <w:rFonts w:eastAsia="Calibri"/>
          <w:szCs w:val="22"/>
        </w:rPr>
        <w:t xml:space="preserve">kterým byl podáván trojnásobek doporučené dávky ve 14denních intervalech během </w:t>
      </w:r>
      <w:r w:rsidRPr="0077314C">
        <w:rPr>
          <w:rFonts w:eastAsia="Calibri"/>
          <w:szCs w:val="22"/>
        </w:rPr>
        <w:t xml:space="preserve">celé březosti a laktace, nevyvolaly </w:t>
      </w:r>
      <w:r w:rsidR="008F7502">
        <w:rPr>
          <w:rFonts w:eastAsia="Calibri"/>
          <w:szCs w:val="22"/>
        </w:rPr>
        <w:t xml:space="preserve">žádné </w:t>
      </w:r>
      <w:r w:rsidRPr="0077314C">
        <w:rPr>
          <w:rFonts w:eastAsia="Calibri"/>
          <w:szCs w:val="22"/>
        </w:rPr>
        <w:t>potrat</w:t>
      </w:r>
      <w:r w:rsidR="008F7502">
        <w:rPr>
          <w:rFonts w:eastAsia="Calibri"/>
          <w:szCs w:val="22"/>
        </w:rPr>
        <w:t>y ani</w:t>
      </w:r>
      <w:r w:rsidRPr="0077314C">
        <w:rPr>
          <w:rFonts w:eastAsia="Calibri"/>
          <w:szCs w:val="22"/>
        </w:rPr>
        <w:t xml:space="preserve"> účinky na březost, porod a celkový zdravotní stav klisen</w:t>
      </w:r>
      <w:r w:rsidR="008F7502">
        <w:rPr>
          <w:rFonts w:eastAsia="Calibri"/>
          <w:szCs w:val="22"/>
        </w:rPr>
        <w:t>,</w:t>
      </w:r>
      <w:r w:rsidRPr="0077314C">
        <w:rPr>
          <w:rFonts w:eastAsia="Calibri"/>
          <w:szCs w:val="22"/>
        </w:rPr>
        <w:t xml:space="preserve"> ani žádné anomálie u hříbat.</w:t>
      </w:r>
    </w:p>
    <w:p w14:paraId="64EB9286" w14:textId="77777777" w:rsidR="00582E69" w:rsidRPr="0077314C" w:rsidRDefault="00582E69" w:rsidP="00582E69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</w:p>
    <w:p w14:paraId="69B2EE75" w14:textId="0834F40F" w:rsidR="00582E69" w:rsidRDefault="00582E69" w:rsidP="00C7649C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77314C">
        <w:rPr>
          <w:rFonts w:eastAsia="Calibri"/>
          <w:szCs w:val="22"/>
        </w:rPr>
        <w:t xml:space="preserve">Studie bezpečnosti </w:t>
      </w:r>
      <w:r w:rsidR="008F7502">
        <w:rPr>
          <w:rFonts w:eastAsia="Calibri"/>
          <w:szCs w:val="22"/>
        </w:rPr>
        <w:t xml:space="preserve">provedené </w:t>
      </w:r>
      <w:r w:rsidR="008F7502" w:rsidRPr="0077314C">
        <w:rPr>
          <w:rFonts w:eastAsia="Calibri"/>
          <w:szCs w:val="22"/>
        </w:rPr>
        <w:t>u hřebců</w:t>
      </w:r>
      <w:r w:rsidR="008F7502">
        <w:rPr>
          <w:rFonts w:eastAsia="Calibri"/>
          <w:szCs w:val="22"/>
        </w:rPr>
        <w:t>, kterým byl podán</w:t>
      </w:r>
      <w:r w:rsidR="008F7502" w:rsidRPr="0077314C">
        <w:rPr>
          <w:rFonts w:eastAsia="Calibri"/>
          <w:szCs w:val="22"/>
        </w:rPr>
        <w:t xml:space="preserve"> </w:t>
      </w:r>
      <w:r w:rsidR="008F7502">
        <w:rPr>
          <w:rFonts w:eastAsia="Calibri"/>
          <w:szCs w:val="22"/>
        </w:rPr>
        <w:t>trojnásobek</w:t>
      </w:r>
      <w:r w:rsidRPr="0077314C">
        <w:rPr>
          <w:rFonts w:eastAsia="Calibri"/>
          <w:szCs w:val="22"/>
        </w:rPr>
        <w:t xml:space="preserve"> doporučen</w:t>
      </w:r>
      <w:r w:rsidR="008F7502">
        <w:rPr>
          <w:rFonts w:eastAsia="Calibri"/>
          <w:szCs w:val="22"/>
        </w:rPr>
        <w:t>é</w:t>
      </w:r>
      <w:r w:rsidRPr="0077314C">
        <w:rPr>
          <w:rFonts w:eastAsia="Calibri"/>
          <w:szCs w:val="22"/>
        </w:rPr>
        <w:t xml:space="preserve"> dávk</w:t>
      </w:r>
      <w:r w:rsidR="008F7502">
        <w:rPr>
          <w:rFonts w:eastAsia="Calibri"/>
          <w:szCs w:val="22"/>
        </w:rPr>
        <w:t>y</w:t>
      </w:r>
      <w:bookmarkEnd w:id="1"/>
      <w:r w:rsidR="008F7502">
        <w:rPr>
          <w:rFonts w:eastAsia="Calibri"/>
          <w:szCs w:val="22"/>
        </w:rPr>
        <w:t>,</w:t>
      </w:r>
      <w:r w:rsidRPr="0077314C">
        <w:rPr>
          <w:rFonts w:eastAsia="Calibri"/>
          <w:szCs w:val="22"/>
        </w:rPr>
        <w:t xml:space="preserve"> </w:t>
      </w:r>
      <w:bookmarkStart w:id="2" w:name="_Hlk203130361"/>
      <w:r w:rsidRPr="0077314C">
        <w:rPr>
          <w:rFonts w:eastAsia="Calibri"/>
          <w:szCs w:val="22"/>
        </w:rPr>
        <w:t xml:space="preserve">neprokázaly žádné </w:t>
      </w:r>
      <w:r w:rsidR="008F7502">
        <w:rPr>
          <w:rFonts w:eastAsia="Calibri"/>
          <w:szCs w:val="22"/>
        </w:rPr>
        <w:t>nežádoucí</w:t>
      </w:r>
      <w:r w:rsidRPr="0077314C">
        <w:rPr>
          <w:rFonts w:eastAsia="Calibri"/>
          <w:szCs w:val="22"/>
        </w:rPr>
        <w:t xml:space="preserve"> účinky, zvláště na schopnost reprodukce.</w:t>
      </w:r>
      <w:bookmarkEnd w:id="2"/>
    </w:p>
    <w:p w14:paraId="54A4A157" w14:textId="77777777" w:rsidR="00582E69" w:rsidRPr="00B41D57" w:rsidRDefault="00582E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51F68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39A6129" w:rsidR="009A6509" w:rsidRPr="00B41D57" w:rsidRDefault="00351F68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51F68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74BA1" w14:textId="55C686CE" w:rsidR="00036540" w:rsidRPr="0077314C" w:rsidRDefault="00036540" w:rsidP="00036540">
      <w:pPr>
        <w:widowControl w:val="0"/>
        <w:rPr>
          <w:b/>
          <w:szCs w:val="22"/>
        </w:rPr>
      </w:pPr>
      <w:r w:rsidRPr="0077314C">
        <w:rPr>
          <w:szCs w:val="22"/>
        </w:rPr>
        <w:t>Maso: 35 dní</w:t>
      </w:r>
      <w:r w:rsidR="009F23EF">
        <w:rPr>
          <w:szCs w:val="22"/>
        </w:rPr>
        <w:t>.</w:t>
      </w:r>
    </w:p>
    <w:p w14:paraId="35946CB6" w14:textId="06FBB973" w:rsidR="00C114FF" w:rsidRPr="00B41D57" w:rsidRDefault="00036540" w:rsidP="00A9226B">
      <w:pPr>
        <w:tabs>
          <w:tab w:val="clear" w:pos="567"/>
        </w:tabs>
        <w:spacing w:line="240" w:lineRule="auto"/>
        <w:rPr>
          <w:szCs w:val="22"/>
        </w:rPr>
      </w:pPr>
      <w:r w:rsidRPr="0077314C">
        <w:rPr>
          <w:szCs w:val="22"/>
        </w:rPr>
        <w:t>Nepoužívat u </w:t>
      </w:r>
      <w:r w:rsidR="00742956">
        <w:rPr>
          <w:szCs w:val="22"/>
        </w:rPr>
        <w:t>zvířat</w:t>
      </w:r>
      <w:r w:rsidRPr="0077314C">
        <w:rPr>
          <w:szCs w:val="22"/>
        </w:rPr>
        <w:t>, jejichž mléko je určeno pro lidskou spotřebu.</w:t>
      </w:r>
    </w:p>
    <w:p w14:paraId="1A1B55BD" w14:textId="5E776035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2AB2B" w14:textId="77777777" w:rsidR="009B4385" w:rsidRPr="00B41D57" w:rsidRDefault="009B43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209A9A6" w:rsidR="00C114FF" w:rsidRPr="00B41D57" w:rsidRDefault="00351F68" w:rsidP="00BD329D">
      <w:pPr>
        <w:pStyle w:val="Style1"/>
        <w:keepNext/>
      </w:pPr>
      <w:r w:rsidRPr="00B41D57">
        <w:lastRenderedPageBreak/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BD329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5E4B7ED6" w:rsidR="00C114FF" w:rsidRPr="00036540" w:rsidRDefault="00351F68" w:rsidP="00BD329D">
      <w:pPr>
        <w:keepNext/>
        <w:rPr>
          <w:spacing w:val="-2"/>
          <w:w w:val="105"/>
          <w:szCs w:val="22"/>
        </w:rPr>
      </w:pPr>
      <w:r w:rsidRPr="009B4385">
        <w:rPr>
          <w:b/>
        </w:rPr>
        <w:t>4.1</w:t>
      </w:r>
      <w:r w:rsidRPr="009B4385">
        <w:rPr>
          <w:b/>
        </w:rPr>
        <w:tab/>
      </w:r>
      <w:proofErr w:type="spellStart"/>
      <w:r w:rsidRPr="009B4385">
        <w:rPr>
          <w:b/>
        </w:rPr>
        <w:t>ATCvet</w:t>
      </w:r>
      <w:proofErr w:type="spellEnd"/>
      <w:r w:rsidRPr="009B4385">
        <w:rPr>
          <w:b/>
        </w:rPr>
        <w:t xml:space="preserve"> kód:</w:t>
      </w:r>
      <w:r w:rsidR="009B4385">
        <w:t xml:space="preserve"> </w:t>
      </w:r>
      <w:r w:rsidR="00036540" w:rsidRPr="00BC4494">
        <w:rPr>
          <w:szCs w:val="22"/>
          <w:lang w:eastAsia="en-GB"/>
        </w:rPr>
        <w:t>QP54AA51</w:t>
      </w:r>
    </w:p>
    <w:p w14:paraId="5C965196" w14:textId="77777777" w:rsidR="00C114FF" w:rsidRPr="00B41D57" w:rsidRDefault="00C114FF" w:rsidP="00BD329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028CCE6B" w:rsidR="00C114FF" w:rsidRDefault="00351F68" w:rsidP="00BD329D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6ED7945E" w14:textId="77777777" w:rsidR="00BD329D" w:rsidRPr="00B41D57" w:rsidRDefault="00BD329D" w:rsidP="00BD329D">
      <w:pPr>
        <w:pStyle w:val="Style1"/>
        <w:keepNext/>
      </w:pPr>
    </w:p>
    <w:p w14:paraId="6BAB4DD7" w14:textId="4FEC9560" w:rsidR="007E4340" w:rsidRPr="007E4340" w:rsidRDefault="007E4340" w:rsidP="007E4340">
      <w:pPr>
        <w:tabs>
          <w:tab w:val="clear" w:pos="567"/>
        </w:tabs>
        <w:spacing w:line="240" w:lineRule="auto"/>
        <w:rPr>
          <w:szCs w:val="22"/>
        </w:rPr>
      </w:pPr>
      <w:r w:rsidRPr="007E4340">
        <w:rPr>
          <w:szCs w:val="22"/>
        </w:rPr>
        <w:t>Ivermektin je derivát makrocyklického laktonu, který má široký antiparazitární účinek proti hlísticím a členovcům. Účinkuje inhibicí nervových</w:t>
      </w:r>
      <w:r w:rsidR="00DC4624">
        <w:rPr>
          <w:szCs w:val="22"/>
        </w:rPr>
        <w:t xml:space="preserve"> </w:t>
      </w:r>
      <w:r w:rsidR="00975145">
        <w:rPr>
          <w:szCs w:val="22"/>
        </w:rPr>
        <w:t>vzruchů</w:t>
      </w:r>
      <w:r w:rsidRPr="007E4340">
        <w:rPr>
          <w:szCs w:val="22"/>
        </w:rPr>
        <w:t xml:space="preserve">. Způsob účinku zahrnuje glutamátem řízené chloridové iontové kanály. </w:t>
      </w:r>
      <w:proofErr w:type="spellStart"/>
      <w:r w:rsidRPr="007E4340">
        <w:rPr>
          <w:szCs w:val="22"/>
        </w:rPr>
        <w:t>Iverm</w:t>
      </w:r>
      <w:r w:rsidR="00DC4624">
        <w:rPr>
          <w:szCs w:val="22"/>
        </w:rPr>
        <w:t>ek</w:t>
      </w:r>
      <w:r w:rsidRPr="007E4340">
        <w:rPr>
          <w:szCs w:val="22"/>
        </w:rPr>
        <w:t>tin</w:t>
      </w:r>
      <w:proofErr w:type="spellEnd"/>
      <w:r w:rsidRPr="007E4340">
        <w:rPr>
          <w:szCs w:val="22"/>
        </w:rPr>
        <w:t xml:space="preserve"> se váže selektivně a s vysokou afinitou na glutamátem řízené chloridové iontové kanály, které se vyskytují v nervových vláknech a ve svalových buňkách bezobratlých.</w:t>
      </w:r>
    </w:p>
    <w:p w14:paraId="25D622D9" w14:textId="77777777" w:rsidR="007E4340" w:rsidRPr="007E4340" w:rsidRDefault="007E4340" w:rsidP="007E4340">
      <w:pPr>
        <w:tabs>
          <w:tab w:val="clear" w:pos="567"/>
        </w:tabs>
        <w:spacing w:line="240" w:lineRule="auto"/>
        <w:rPr>
          <w:szCs w:val="22"/>
        </w:rPr>
      </w:pPr>
    </w:p>
    <w:p w14:paraId="50FA42E3" w14:textId="22CB5615" w:rsidR="00C114FF" w:rsidRDefault="007E4340" w:rsidP="007E4340">
      <w:pPr>
        <w:tabs>
          <w:tab w:val="clear" w:pos="567"/>
        </w:tabs>
        <w:spacing w:line="240" w:lineRule="auto"/>
        <w:rPr>
          <w:szCs w:val="22"/>
        </w:rPr>
      </w:pPr>
      <w:r w:rsidRPr="007E4340">
        <w:rPr>
          <w:szCs w:val="22"/>
        </w:rPr>
        <w:t xml:space="preserve">Toto vede k vzestupu propustnosti buněčné membrány pro chloridové ionty a k hyperpolarizaci nervových vláken nebo svalových buněk, čehož </w:t>
      </w:r>
      <w:r w:rsidR="00DC4624">
        <w:rPr>
          <w:szCs w:val="22"/>
        </w:rPr>
        <w:t xml:space="preserve">výsledkem </w:t>
      </w:r>
      <w:r w:rsidRPr="007E4340">
        <w:rPr>
          <w:szCs w:val="22"/>
        </w:rPr>
        <w:t xml:space="preserve">je paralýza a </w:t>
      </w:r>
      <w:r w:rsidR="007744A9">
        <w:rPr>
          <w:szCs w:val="22"/>
        </w:rPr>
        <w:t xml:space="preserve">úhyn </w:t>
      </w:r>
      <w:r w:rsidRPr="007E4340">
        <w:rPr>
          <w:szCs w:val="22"/>
        </w:rPr>
        <w:t xml:space="preserve">parazita. Látky této </w:t>
      </w:r>
      <w:r w:rsidR="007744A9">
        <w:rPr>
          <w:szCs w:val="22"/>
        </w:rPr>
        <w:t>skupin</w:t>
      </w:r>
      <w:r w:rsidR="007744A9" w:rsidRPr="007E4340">
        <w:rPr>
          <w:szCs w:val="22"/>
        </w:rPr>
        <w:t xml:space="preserve">y </w:t>
      </w:r>
      <w:r w:rsidRPr="007E4340">
        <w:rPr>
          <w:szCs w:val="22"/>
        </w:rPr>
        <w:t xml:space="preserve">mohou ovlivňovat i ostatními ligandy řízené chloridové kanály jako například ty, které jsou řízeny neurotransmiterem kyselinou </w:t>
      </w:r>
      <w:proofErr w:type="spellStart"/>
      <w:r w:rsidRPr="007E4340">
        <w:rPr>
          <w:szCs w:val="22"/>
        </w:rPr>
        <w:t>gamma</w:t>
      </w:r>
      <w:proofErr w:type="spellEnd"/>
      <w:r w:rsidRPr="007E4340">
        <w:rPr>
          <w:szCs w:val="22"/>
        </w:rPr>
        <w:t xml:space="preserve">-aminomáselnou (GABA). Bezpečnost látek této </w:t>
      </w:r>
      <w:r w:rsidR="007744A9">
        <w:rPr>
          <w:szCs w:val="22"/>
        </w:rPr>
        <w:t>skupiny</w:t>
      </w:r>
      <w:r w:rsidRPr="007E4340">
        <w:rPr>
          <w:szCs w:val="22"/>
        </w:rPr>
        <w:t xml:space="preserve"> je dána tím, že savci nemají</w:t>
      </w:r>
      <w:r w:rsidR="009D3A21">
        <w:rPr>
          <w:szCs w:val="22"/>
        </w:rPr>
        <w:t xml:space="preserve"> </w:t>
      </w:r>
      <w:r w:rsidRPr="007E4340">
        <w:rPr>
          <w:szCs w:val="22"/>
        </w:rPr>
        <w:t>glutamátem řízené chloridové kanály.</w:t>
      </w:r>
    </w:p>
    <w:p w14:paraId="155ACE13" w14:textId="77777777" w:rsidR="007E4340" w:rsidRDefault="007E4340" w:rsidP="007E4340">
      <w:pPr>
        <w:tabs>
          <w:tab w:val="clear" w:pos="567"/>
        </w:tabs>
        <w:spacing w:line="240" w:lineRule="auto"/>
        <w:rPr>
          <w:szCs w:val="22"/>
        </w:rPr>
      </w:pPr>
    </w:p>
    <w:p w14:paraId="2A0623FA" w14:textId="266C713A" w:rsidR="007E4340" w:rsidRPr="007E4340" w:rsidRDefault="007E4340" w:rsidP="007E434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E4340">
        <w:rPr>
          <w:szCs w:val="22"/>
        </w:rPr>
        <w:t>Prazikvantel</w:t>
      </w:r>
      <w:proofErr w:type="spellEnd"/>
      <w:r w:rsidRPr="007E4340">
        <w:rPr>
          <w:szCs w:val="22"/>
        </w:rPr>
        <w:t xml:space="preserve"> je derivát </w:t>
      </w:r>
      <w:proofErr w:type="spellStart"/>
      <w:r w:rsidRPr="007E4340">
        <w:rPr>
          <w:szCs w:val="22"/>
        </w:rPr>
        <w:t>pyrazinoisochinolinu</w:t>
      </w:r>
      <w:proofErr w:type="spellEnd"/>
      <w:r w:rsidRPr="007E4340">
        <w:rPr>
          <w:szCs w:val="22"/>
        </w:rPr>
        <w:t>, který účinkuje proti množství druhů tasemnic a motolic. Primárně účinkuje zhoršením motility a funkce přísav</w:t>
      </w:r>
      <w:r w:rsidR="009D3A21">
        <w:rPr>
          <w:szCs w:val="22"/>
        </w:rPr>
        <w:t>ek</w:t>
      </w:r>
      <w:r w:rsidRPr="007E4340">
        <w:rPr>
          <w:szCs w:val="22"/>
        </w:rPr>
        <w:t xml:space="preserve"> tasemnic. Jeho </w:t>
      </w:r>
      <w:r w:rsidR="009D3A21">
        <w:rPr>
          <w:szCs w:val="22"/>
        </w:rPr>
        <w:t xml:space="preserve">mechanismus účinku </w:t>
      </w:r>
      <w:r w:rsidRPr="007E4340">
        <w:rPr>
          <w:szCs w:val="22"/>
        </w:rPr>
        <w:t xml:space="preserve">zahrnuje zhoršení neuromuskulární koordinace, </w:t>
      </w:r>
      <w:r w:rsidR="009D3A21">
        <w:rPr>
          <w:szCs w:val="22"/>
        </w:rPr>
        <w:t>dále</w:t>
      </w:r>
      <w:r w:rsidR="009D3A21" w:rsidRPr="007E4340">
        <w:rPr>
          <w:szCs w:val="22"/>
        </w:rPr>
        <w:t xml:space="preserve"> </w:t>
      </w:r>
      <w:r w:rsidRPr="007E4340">
        <w:rPr>
          <w:szCs w:val="22"/>
        </w:rPr>
        <w:t xml:space="preserve">ovlivňuje také permeabilitu </w:t>
      </w:r>
      <w:r w:rsidR="007744A9">
        <w:rPr>
          <w:szCs w:val="22"/>
        </w:rPr>
        <w:t>integumentu</w:t>
      </w:r>
      <w:r w:rsidR="007744A9" w:rsidRPr="007E4340">
        <w:rPr>
          <w:szCs w:val="22"/>
        </w:rPr>
        <w:t xml:space="preserve"> </w:t>
      </w:r>
      <w:r w:rsidRPr="007E4340">
        <w:rPr>
          <w:szCs w:val="22"/>
        </w:rPr>
        <w:t xml:space="preserve">červů, což vede k nadměrným ztrátám </w:t>
      </w:r>
      <w:r w:rsidR="00DC29ED">
        <w:rPr>
          <w:szCs w:val="22"/>
        </w:rPr>
        <w:t xml:space="preserve">vápníku </w:t>
      </w:r>
      <w:r w:rsidRPr="007E4340">
        <w:rPr>
          <w:szCs w:val="22"/>
        </w:rPr>
        <w:t>a glukózy. To vyvolává spastickou paralýzu svaloviny parazita.</w:t>
      </w:r>
    </w:p>
    <w:p w14:paraId="220346CB" w14:textId="77777777" w:rsidR="007E4340" w:rsidRPr="00B41D57" w:rsidRDefault="007E4340" w:rsidP="007E4340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31D122F" w:rsidR="00C114FF" w:rsidRPr="00B41D57" w:rsidRDefault="00351F68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2F261538" w14:textId="77777777" w:rsidR="007E4340" w:rsidRPr="007E4340" w:rsidRDefault="007E4340" w:rsidP="007E4340">
      <w:pPr>
        <w:tabs>
          <w:tab w:val="clear" w:pos="567"/>
        </w:tabs>
        <w:spacing w:line="240" w:lineRule="auto"/>
        <w:rPr>
          <w:szCs w:val="22"/>
        </w:rPr>
      </w:pPr>
    </w:p>
    <w:p w14:paraId="041767DA" w14:textId="081FFA2A" w:rsidR="00C114FF" w:rsidRPr="00B41D57" w:rsidRDefault="007E4340" w:rsidP="007E4340">
      <w:pPr>
        <w:tabs>
          <w:tab w:val="clear" w:pos="567"/>
        </w:tabs>
        <w:spacing w:line="240" w:lineRule="auto"/>
        <w:rPr>
          <w:szCs w:val="22"/>
        </w:rPr>
      </w:pPr>
      <w:r w:rsidRPr="007E4340">
        <w:rPr>
          <w:szCs w:val="22"/>
        </w:rPr>
        <w:t xml:space="preserve">Po podání doporučené dávky koním je maximální koncentrace ivermektinu v plazmě dosaženo za 24 hodin. Koncentrace ivermektinu i 14 dní po podání stále přesahovala 2 </w:t>
      </w:r>
      <w:proofErr w:type="spellStart"/>
      <w:r w:rsidRPr="007E4340">
        <w:rPr>
          <w:szCs w:val="22"/>
        </w:rPr>
        <w:t>ng</w:t>
      </w:r>
      <w:proofErr w:type="spellEnd"/>
      <w:r w:rsidRPr="007E4340">
        <w:rPr>
          <w:szCs w:val="22"/>
        </w:rPr>
        <w:t xml:space="preserve">/ml. Biologický poločas </w:t>
      </w:r>
      <w:proofErr w:type="spellStart"/>
      <w:r w:rsidRPr="007E4340">
        <w:rPr>
          <w:szCs w:val="22"/>
        </w:rPr>
        <w:t>ivermektinu</w:t>
      </w:r>
      <w:proofErr w:type="spellEnd"/>
      <w:r w:rsidRPr="007E4340">
        <w:rPr>
          <w:szCs w:val="22"/>
        </w:rPr>
        <w:t xml:space="preserve"> je 90 h. Biologický poločas </w:t>
      </w:r>
      <w:proofErr w:type="spellStart"/>
      <w:r w:rsidRPr="007E4340">
        <w:rPr>
          <w:szCs w:val="22"/>
        </w:rPr>
        <w:t>prazikvantelu</w:t>
      </w:r>
      <w:proofErr w:type="spellEnd"/>
      <w:r w:rsidRPr="007E4340">
        <w:rPr>
          <w:szCs w:val="22"/>
        </w:rPr>
        <w:t xml:space="preserve"> je 40 minut.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51F68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51F6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3E66BADC" w:rsidR="00C114FF" w:rsidRPr="00B41D57" w:rsidRDefault="00351F68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51F6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7E1F981" w:rsidR="00C114FF" w:rsidRPr="00B41D57" w:rsidRDefault="00351F6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E4340">
        <w:t xml:space="preserve"> </w:t>
      </w:r>
      <w:r w:rsidR="007E4340" w:rsidRPr="00B41D57">
        <w:t>18 měsíců.</w:t>
      </w:r>
    </w:p>
    <w:p w14:paraId="5DF513F3" w14:textId="20C457C9" w:rsidR="00C114FF" w:rsidRPr="00B41D57" w:rsidRDefault="00351F6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7E4340">
        <w:t xml:space="preserve"> </w:t>
      </w:r>
      <w:r w:rsidR="007E4340" w:rsidRPr="00B41D57">
        <w:t>6 měsíců.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51F6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DC22D2" w14:textId="77777777" w:rsidR="00015411" w:rsidRPr="00B41D57" w:rsidRDefault="00015411" w:rsidP="0001541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při teplotě do 25 °C</w:t>
      </w:r>
      <w:r>
        <w:t>.</w:t>
      </w:r>
    </w:p>
    <w:p w14:paraId="2630D258" w14:textId="77777777" w:rsidR="00015411" w:rsidRPr="00B41D57" w:rsidRDefault="00015411" w:rsidP="0001541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7314C">
        <w:rPr>
          <w:szCs w:val="22"/>
        </w:rPr>
        <w:t>Po podání nasaďte uzávěr</w:t>
      </w:r>
      <w:r>
        <w:rPr>
          <w:szCs w:val="22"/>
        </w:rPr>
        <w:t>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51F6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8FE682B" w14:textId="77777777" w:rsidR="00015411" w:rsidRPr="0077314C" w:rsidRDefault="00015411" w:rsidP="00015411">
      <w:pPr>
        <w:pStyle w:val="Zkladntext"/>
        <w:widowControl w:val="0"/>
        <w:rPr>
          <w:szCs w:val="22"/>
        </w:rPr>
      </w:pPr>
      <w:r w:rsidRPr="0077314C">
        <w:rPr>
          <w:szCs w:val="22"/>
        </w:rPr>
        <w:t>Velikosti balení:</w:t>
      </w:r>
    </w:p>
    <w:p w14:paraId="32EF15A2" w14:textId="77777777" w:rsidR="00015411" w:rsidRPr="0077314C" w:rsidRDefault="00015411" w:rsidP="00015411">
      <w:pPr>
        <w:pStyle w:val="Zkladntext"/>
        <w:widowControl w:val="0"/>
        <w:rPr>
          <w:szCs w:val="22"/>
        </w:rPr>
      </w:pPr>
    </w:p>
    <w:p w14:paraId="191DC3CB" w14:textId="77777777" w:rsidR="00015411" w:rsidRPr="0077314C" w:rsidRDefault="00015411" w:rsidP="00015411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77314C">
        <w:rPr>
          <w:szCs w:val="22"/>
        </w:rPr>
        <w:t>1 papírová krabička obsahující 1 x 7,49 g perorální aplikátor</w:t>
      </w:r>
      <w:r>
        <w:rPr>
          <w:szCs w:val="22"/>
        </w:rPr>
        <w:t>,</w:t>
      </w:r>
    </w:p>
    <w:p w14:paraId="25ECF15A" w14:textId="77777777" w:rsidR="00015411" w:rsidRPr="0077314C" w:rsidRDefault="00015411" w:rsidP="00015411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77314C">
        <w:rPr>
          <w:szCs w:val="22"/>
        </w:rPr>
        <w:t>1 papírová krabička obsahující 2 x 7,49 g perorální aplikátor</w:t>
      </w:r>
      <w:r>
        <w:rPr>
          <w:szCs w:val="22"/>
        </w:rPr>
        <w:t>,</w:t>
      </w:r>
    </w:p>
    <w:p w14:paraId="0DF3E2CA" w14:textId="77777777" w:rsidR="00015411" w:rsidRPr="0077314C" w:rsidRDefault="00015411" w:rsidP="00015411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77314C">
        <w:rPr>
          <w:szCs w:val="22"/>
        </w:rPr>
        <w:t>1 papírová krabička obsahující 12 x 7,49 g perorální aplikátor</w:t>
      </w:r>
      <w:r>
        <w:rPr>
          <w:szCs w:val="22"/>
        </w:rPr>
        <w:t>,</w:t>
      </w:r>
    </w:p>
    <w:p w14:paraId="605011BC" w14:textId="77777777" w:rsidR="00015411" w:rsidRPr="0077314C" w:rsidRDefault="00015411" w:rsidP="00015411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77314C">
        <w:rPr>
          <w:szCs w:val="22"/>
        </w:rPr>
        <w:t>1 papírová krabička obsahující 40 x 7,49 g perorální aplikátor</w:t>
      </w:r>
      <w:r>
        <w:rPr>
          <w:szCs w:val="22"/>
        </w:rPr>
        <w:t>,</w:t>
      </w:r>
    </w:p>
    <w:p w14:paraId="7AC53588" w14:textId="77777777" w:rsidR="00015411" w:rsidRPr="00DF2521" w:rsidRDefault="00015411" w:rsidP="00015411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77314C">
        <w:rPr>
          <w:szCs w:val="22"/>
        </w:rPr>
        <w:t>1 papírová krabička obsahující 48 x 7,49 g perorální aplikátor</w:t>
      </w:r>
      <w:r>
        <w:rPr>
          <w:szCs w:val="22"/>
        </w:rPr>
        <w:t>,</w:t>
      </w:r>
    </w:p>
    <w:p w14:paraId="7AA3933F" w14:textId="77777777" w:rsidR="00015411" w:rsidRPr="00DF2521" w:rsidRDefault="00015411" w:rsidP="00015411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77314C">
        <w:rPr>
          <w:szCs w:val="22"/>
        </w:rPr>
        <w:t>1 papírová krabička obsahující 50 x 7,49 g perorální aplikátor</w:t>
      </w:r>
      <w:r>
        <w:rPr>
          <w:b/>
          <w:szCs w:val="22"/>
        </w:rPr>
        <w:t>.</w:t>
      </w:r>
    </w:p>
    <w:p w14:paraId="7054C701" w14:textId="77777777" w:rsidR="00015411" w:rsidRDefault="00015411" w:rsidP="00015411">
      <w:pPr>
        <w:tabs>
          <w:tab w:val="clear" w:pos="567"/>
        </w:tabs>
        <w:spacing w:line="240" w:lineRule="auto"/>
      </w:pPr>
    </w:p>
    <w:p w14:paraId="7F635996" w14:textId="77777777" w:rsidR="00015411" w:rsidRPr="00B41D57" w:rsidRDefault="00015411" w:rsidP="00015411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51F68" w:rsidP="00BD329D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BD329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29407D9C" w:rsidR="00FD1E45" w:rsidRPr="00B41D57" w:rsidRDefault="00351F68" w:rsidP="00FD1E45">
      <w:pPr>
        <w:rPr>
          <w:szCs w:val="22"/>
        </w:rPr>
      </w:pPr>
      <w:r w:rsidRPr="00B41D57">
        <w:t>Léčivé přípravky se nesmí likvidovat prostřednictvím odpadní vody</w:t>
      </w:r>
      <w:r w:rsidR="00BD329D">
        <w:t xml:space="preserve">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EAC55" w14:textId="0528B7DD" w:rsidR="00C114FF" w:rsidRPr="00B41D57" w:rsidRDefault="007D760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>Tento v</w:t>
      </w:r>
      <w:r w:rsidR="00351F68" w:rsidRPr="00B41D57">
        <w:t xml:space="preserve">eterinární léčivý přípravek nesmí kontaminovat vodní toky, protože </w:t>
      </w:r>
      <w:proofErr w:type="spellStart"/>
      <w:r w:rsidR="00BD329D">
        <w:rPr>
          <w:szCs w:val="22"/>
        </w:rPr>
        <w:t>i</w:t>
      </w:r>
      <w:r w:rsidR="00015411" w:rsidRPr="0077314C">
        <w:rPr>
          <w:szCs w:val="22"/>
        </w:rPr>
        <w:t>verme</w:t>
      </w:r>
      <w:r w:rsidR="00BD329D">
        <w:rPr>
          <w:szCs w:val="22"/>
        </w:rPr>
        <w:t>k</w:t>
      </w:r>
      <w:r w:rsidR="00015411" w:rsidRPr="0077314C">
        <w:rPr>
          <w:szCs w:val="22"/>
        </w:rPr>
        <w:t>tin</w:t>
      </w:r>
      <w:proofErr w:type="spellEnd"/>
      <w:r w:rsidR="00015411" w:rsidRPr="00B41D57">
        <w:t xml:space="preserve"> </w:t>
      </w:r>
      <w:r w:rsidR="00BD329D">
        <w:t xml:space="preserve">je extrémně </w:t>
      </w:r>
      <w:r w:rsidR="00351F68" w:rsidRPr="00B41D57">
        <w:t>nebezpečný pro ryby a další vodní organismy.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51F68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51F68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141B18B6" w:rsidR="00B41F47" w:rsidRPr="00B41D57" w:rsidRDefault="00015411" w:rsidP="00A9226B">
      <w:pPr>
        <w:tabs>
          <w:tab w:val="clear" w:pos="567"/>
        </w:tabs>
        <w:spacing w:line="240" w:lineRule="auto"/>
        <w:rPr>
          <w:szCs w:val="22"/>
        </w:rPr>
      </w:pPr>
      <w:r>
        <w:t>96/027/</w:t>
      </w:r>
      <w:proofErr w:type="gramStart"/>
      <w:r>
        <w:t>14-C</w:t>
      </w:r>
      <w:proofErr w:type="gramEnd"/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51F68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6C7A9" w14:textId="1A448977" w:rsidR="00015411" w:rsidRDefault="00015411" w:rsidP="00015411">
      <w:pPr>
        <w:pStyle w:val="Zkladntext"/>
        <w:rPr>
          <w:szCs w:val="22"/>
        </w:rPr>
      </w:pPr>
      <w:proofErr w:type="spellStart"/>
      <w:r w:rsidRPr="0077314C">
        <w:rPr>
          <w:szCs w:val="22"/>
        </w:rPr>
        <w:t>Norbrook</w:t>
      </w:r>
      <w:proofErr w:type="spellEnd"/>
      <w:r w:rsidRPr="0077314C">
        <w:rPr>
          <w:szCs w:val="22"/>
        </w:rPr>
        <w:t xml:space="preserve"> </w:t>
      </w:r>
      <w:proofErr w:type="spellStart"/>
      <w:r w:rsidRPr="0077314C">
        <w:rPr>
          <w:szCs w:val="22"/>
        </w:rPr>
        <w:t>Laboratories</w:t>
      </w:r>
      <w:proofErr w:type="spellEnd"/>
      <w:r w:rsidRPr="0077314C">
        <w:rPr>
          <w:szCs w:val="22"/>
        </w:rPr>
        <w:t xml:space="preserve"> (</w:t>
      </w:r>
      <w:proofErr w:type="spellStart"/>
      <w:r w:rsidRPr="0077314C">
        <w:rPr>
          <w:szCs w:val="22"/>
        </w:rPr>
        <w:t>Ireland</w:t>
      </w:r>
      <w:proofErr w:type="spellEnd"/>
      <w:r w:rsidRPr="0077314C">
        <w:rPr>
          <w:szCs w:val="22"/>
        </w:rPr>
        <w:t xml:space="preserve">) Limited </w:t>
      </w:r>
    </w:p>
    <w:p w14:paraId="427D05E5" w14:textId="398F800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2E70EB" w14:textId="77777777" w:rsidR="003C75AA" w:rsidRPr="00B41D57" w:rsidRDefault="003C75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51F68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C3BBFDE" w:rsidR="00C114FF" w:rsidRPr="00B41D57" w:rsidRDefault="00351F6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015411">
        <w:t xml:space="preserve"> 25/03/2014</w:t>
      </w:r>
      <w:bookmarkStart w:id="3" w:name="_GoBack"/>
      <w:bookmarkEnd w:id="3"/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51F6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1AFA26" w14:textId="49CB3773" w:rsidR="00D81480" w:rsidRPr="00B41D57" w:rsidRDefault="003B2725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C7649C">
        <w:t>9</w:t>
      </w:r>
      <w:r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51F6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F2C4B6D" w:rsidR="0078538F" w:rsidRPr="00B41D57" w:rsidRDefault="00351F68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5D270BAA" w14:textId="77777777" w:rsidR="003B2725" w:rsidRDefault="00351F68" w:rsidP="003B2725">
      <w:pPr>
        <w:ind w:right="-318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Start w:id="5" w:name="_Hlk148432335"/>
    </w:p>
    <w:p w14:paraId="427F9E02" w14:textId="77777777" w:rsidR="003B2725" w:rsidRDefault="003B2725" w:rsidP="003B2725">
      <w:pPr>
        <w:ind w:right="-318"/>
      </w:pPr>
    </w:p>
    <w:p w14:paraId="5A6BA883" w14:textId="3CB68E58" w:rsidR="003B2725" w:rsidRPr="00C7649C" w:rsidRDefault="003B2725" w:rsidP="00C7649C">
      <w:pPr>
        <w:ind w:right="-318"/>
        <w:rPr>
          <w:i/>
          <w:szCs w:val="22"/>
        </w:rPr>
      </w:pPr>
      <w:r w:rsidRPr="00C7649C">
        <w:t>Podrobné informace o tomto veterinárním léčivém přípravku naleznete také v národní databázi (</w:t>
      </w:r>
      <w:hyperlink r:id="rId9" w:history="1">
        <w:r w:rsidRPr="00C7649C">
          <w:rPr>
            <w:rStyle w:val="Hypertextovodkaz"/>
          </w:rPr>
          <w:t>https://www.uskvbl.cz</w:t>
        </w:r>
      </w:hyperlink>
      <w:r w:rsidRPr="00C7649C">
        <w:t>).</w:t>
      </w:r>
    </w:p>
    <w:bookmarkEnd w:id="5"/>
    <w:p w14:paraId="209F4F82" w14:textId="77777777" w:rsidR="003B2725" w:rsidRPr="00B41D57" w:rsidRDefault="003B2725" w:rsidP="00874D4A">
      <w:pPr>
        <w:ind w:right="-318"/>
        <w:rPr>
          <w:szCs w:val="22"/>
        </w:rPr>
      </w:pPr>
    </w:p>
    <w:bookmarkEnd w:id="4"/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B2D98" w14:textId="77777777" w:rsidR="00C328C2" w:rsidRDefault="00C328C2">
      <w:pPr>
        <w:spacing w:line="240" w:lineRule="auto"/>
      </w:pPr>
      <w:r>
        <w:separator/>
      </w:r>
    </w:p>
  </w:endnote>
  <w:endnote w:type="continuationSeparator" w:id="0">
    <w:p w14:paraId="4B736AD3" w14:textId="77777777" w:rsidR="00C328C2" w:rsidRDefault="00C32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771505" w:rsidRPr="00E0068C" w:rsidRDefault="007715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771505" w:rsidRPr="00E0068C" w:rsidRDefault="007715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CD74D" w14:textId="77777777" w:rsidR="00C328C2" w:rsidRDefault="00C328C2">
      <w:pPr>
        <w:spacing w:line="240" w:lineRule="auto"/>
      </w:pPr>
      <w:r>
        <w:separator/>
      </w:r>
    </w:p>
  </w:footnote>
  <w:footnote w:type="continuationSeparator" w:id="0">
    <w:p w14:paraId="022CF3FA" w14:textId="77777777" w:rsidR="00C328C2" w:rsidRDefault="00C32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93E3B" w14:textId="52AB5D2B" w:rsidR="00023266" w:rsidRDefault="00023266" w:rsidP="00023266">
    <w:r>
      <w:t xml:space="preserve">    </w:t>
    </w:r>
  </w:p>
  <w:p w14:paraId="40DD91CD" w14:textId="77777777" w:rsidR="00023266" w:rsidRDefault="000232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3A20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02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7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4CC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C0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A5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36B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47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2C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5AE6A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EA9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FEA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9EF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EF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B0F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92D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83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25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E68A3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6EF5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6048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B0FF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92B4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5C0B7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94B8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E09F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66AE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0B0A3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7E64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56D0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7C1F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9C25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2A47D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208D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8CA6A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E5CDE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A186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5AE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DA7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63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0D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48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E9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AB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0E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0735A"/>
    <w:multiLevelType w:val="hybridMultilevel"/>
    <w:tmpl w:val="3B4A0938"/>
    <w:lvl w:ilvl="0" w:tplc="A7E0DFB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FE35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CEC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CCC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92E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8B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2E4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44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8A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7AD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44EC7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52476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A2201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E2CF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9445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812A8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3CBF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B007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C6AE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7FF442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B447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E0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7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6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65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6B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E7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66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45E0ED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60EC9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3562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22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09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A3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947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CB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A2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9184F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667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083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C2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EC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50D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6D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85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C62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F825CE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CE1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A00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447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62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8AE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E3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EE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C9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D59A12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8340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C47D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9C21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86F41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C9A87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4ED4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749D2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E9ABD2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83C08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EC8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E07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E0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E1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C06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00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AF4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581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CBCEA0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902CAE2" w:tentative="1">
      <w:start w:val="1"/>
      <w:numFmt w:val="lowerLetter"/>
      <w:lvlText w:val="%2."/>
      <w:lvlJc w:val="left"/>
      <w:pPr>
        <w:ind w:left="1440" w:hanging="360"/>
      </w:pPr>
    </w:lvl>
    <w:lvl w:ilvl="2" w:tplc="F6B8AC5A" w:tentative="1">
      <w:start w:val="1"/>
      <w:numFmt w:val="lowerRoman"/>
      <w:lvlText w:val="%3."/>
      <w:lvlJc w:val="right"/>
      <w:pPr>
        <w:ind w:left="2160" w:hanging="180"/>
      </w:pPr>
    </w:lvl>
    <w:lvl w:ilvl="3" w:tplc="8DD49450" w:tentative="1">
      <w:start w:val="1"/>
      <w:numFmt w:val="decimal"/>
      <w:lvlText w:val="%4."/>
      <w:lvlJc w:val="left"/>
      <w:pPr>
        <w:ind w:left="2880" w:hanging="360"/>
      </w:pPr>
    </w:lvl>
    <w:lvl w:ilvl="4" w:tplc="65C6BEB2" w:tentative="1">
      <w:start w:val="1"/>
      <w:numFmt w:val="lowerLetter"/>
      <w:lvlText w:val="%5."/>
      <w:lvlJc w:val="left"/>
      <w:pPr>
        <w:ind w:left="3600" w:hanging="360"/>
      </w:pPr>
    </w:lvl>
    <w:lvl w:ilvl="5" w:tplc="6E2895FA" w:tentative="1">
      <w:start w:val="1"/>
      <w:numFmt w:val="lowerRoman"/>
      <w:lvlText w:val="%6."/>
      <w:lvlJc w:val="right"/>
      <w:pPr>
        <w:ind w:left="4320" w:hanging="180"/>
      </w:pPr>
    </w:lvl>
    <w:lvl w:ilvl="6" w:tplc="1EC84DC6" w:tentative="1">
      <w:start w:val="1"/>
      <w:numFmt w:val="decimal"/>
      <w:lvlText w:val="%7."/>
      <w:lvlJc w:val="left"/>
      <w:pPr>
        <w:ind w:left="5040" w:hanging="360"/>
      </w:pPr>
    </w:lvl>
    <w:lvl w:ilvl="7" w:tplc="03982862" w:tentative="1">
      <w:start w:val="1"/>
      <w:numFmt w:val="lowerLetter"/>
      <w:lvlText w:val="%8."/>
      <w:lvlJc w:val="left"/>
      <w:pPr>
        <w:ind w:left="5760" w:hanging="360"/>
      </w:pPr>
    </w:lvl>
    <w:lvl w:ilvl="8" w:tplc="AA983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00286A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B28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164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4A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86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B4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E9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ECD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0E5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59C1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807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0AB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E41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C3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65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CE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C1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E6F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C6E821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A38F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880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7C0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2A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27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B09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6E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A7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DC4376A">
      <w:start w:val="1"/>
      <w:numFmt w:val="decimal"/>
      <w:lvlText w:val="%1."/>
      <w:lvlJc w:val="left"/>
      <w:pPr>
        <w:ind w:left="720" w:hanging="360"/>
      </w:pPr>
    </w:lvl>
    <w:lvl w:ilvl="1" w:tplc="2F10CC24" w:tentative="1">
      <w:start w:val="1"/>
      <w:numFmt w:val="lowerLetter"/>
      <w:lvlText w:val="%2."/>
      <w:lvlJc w:val="left"/>
      <w:pPr>
        <w:ind w:left="1440" w:hanging="360"/>
      </w:pPr>
    </w:lvl>
    <w:lvl w:ilvl="2" w:tplc="384645DC" w:tentative="1">
      <w:start w:val="1"/>
      <w:numFmt w:val="lowerRoman"/>
      <w:lvlText w:val="%3."/>
      <w:lvlJc w:val="right"/>
      <w:pPr>
        <w:ind w:left="2160" w:hanging="180"/>
      </w:pPr>
    </w:lvl>
    <w:lvl w:ilvl="3" w:tplc="6B727D8E" w:tentative="1">
      <w:start w:val="1"/>
      <w:numFmt w:val="decimal"/>
      <w:lvlText w:val="%4."/>
      <w:lvlJc w:val="left"/>
      <w:pPr>
        <w:ind w:left="2880" w:hanging="360"/>
      </w:pPr>
    </w:lvl>
    <w:lvl w:ilvl="4" w:tplc="3BE063EA" w:tentative="1">
      <w:start w:val="1"/>
      <w:numFmt w:val="lowerLetter"/>
      <w:lvlText w:val="%5."/>
      <w:lvlJc w:val="left"/>
      <w:pPr>
        <w:ind w:left="3600" w:hanging="360"/>
      </w:pPr>
    </w:lvl>
    <w:lvl w:ilvl="5" w:tplc="619C0798" w:tentative="1">
      <w:start w:val="1"/>
      <w:numFmt w:val="lowerRoman"/>
      <w:lvlText w:val="%6."/>
      <w:lvlJc w:val="right"/>
      <w:pPr>
        <w:ind w:left="4320" w:hanging="180"/>
      </w:pPr>
    </w:lvl>
    <w:lvl w:ilvl="6" w:tplc="A6F47FE4" w:tentative="1">
      <w:start w:val="1"/>
      <w:numFmt w:val="decimal"/>
      <w:lvlText w:val="%7."/>
      <w:lvlJc w:val="left"/>
      <w:pPr>
        <w:ind w:left="5040" w:hanging="360"/>
      </w:pPr>
    </w:lvl>
    <w:lvl w:ilvl="7" w:tplc="DFF8C45C" w:tentative="1">
      <w:start w:val="1"/>
      <w:numFmt w:val="lowerLetter"/>
      <w:lvlText w:val="%8."/>
      <w:lvlJc w:val="left"/>
      <w:pPr>
        <w:ind w:left="5760" w:hanging="360"/>
      </w:pPr>
    </w:lvl>
    <w:lvl w:ilvl="8" w:tplc="74D24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FF883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142E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061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7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23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6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06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6D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74B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411"/>
    <w:rsid w:val="00021B82"/>
    <w:rsid w:val="00023266"/>
    <w:rsid w:val="00024777"/>
    <w:rsid w:val="00024E21"/>
    <w:rsid w:val="00027100"/>
    <w:rsid w:val="000349AA"/>
    <w:rsid w:val="00036540"/>
    <w:rsid w:val="00036C50"/>
    <w:rsid w:val="00052D2B"/>
    <w:rsid w:val="00054F55"/>
    <w:rsid w:val="00056EE7"/>
    <w:rsid w:val="00062945"/>
    <w:rsid w:val="00063946"/>
    <w:rsid w:val="0007490C"/>
    <w:rsid w:val="00080453"/>
    <w:rsid w:val="0008169A"/>
    <w:rsid w:val="00082200"/>
    <w:rsid w:val="00083542"/>
    <w:rsid w:val="000838BB"/>
    <w:rsid w:val="000860CE"/>
    <w:rsid w:val="00092A37"/>
    <w:rsid w:val="000938A6"/>
    <w:rsid w:val="00096E78"/>
    <w:rsid w:val="00097C1E"/>
    <w:rsid w:val="000A1DF5"/>
    <w:rsid w:val="000A6FC9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CBF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DC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6998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5F4"/>
    <w:rsid w:val="001B1C77"/>
    <w:rsid w:val="001B26EB"/>
    <w:rsid w:val="001B6F4A"/>
    <w:rsid w:val="001B7B38"/>
    <w:rsid w:val="001C5288"/>
    <w:rsid w:val="001C5B03"/>
    <w:rsid w:val="001D00F2"/>
    <w:rsid w:val="001D1116"/>
    <w:rsid w:val="001D4CE4"/>
    <w:rsid w:val="001D6052"/>
    <w:rsid w:val="001D6D96"/>
    <w:rsid w:val="001E5621"/>
    <w:rsid w:val="001F1C7E"/>
    <w:rsid w:val="001F2CE4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37140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6F45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22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72FB"/>
    <w:rsid w:val="00351F68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2725"/>
    <w:rsid w:val="003B48EB"/>
    <w:rsid w:val="003B5CD1"/>
    <w:rsid w:val="003C33FF"/>
    <w:rsid w:val="003C3E0E"/>
    <w:rsid w:val="003C64A5"/>
    <w:rsid w:val="003C75AA"/>
    <w:rsid w:val="003D03CC"/>
    <w:rsid w:val="003D378C"/>
    <w:rsid w:val="003D3893"/>
    <w:rsid w:val="003D4BB7"/>
    <w:rsid w:val="003E0116"/>
    <w:rsid w:val="003E10EE"/>
    <w:rsid w:val="003E26C3"/>
    <w:rsid w:val="003E6225"/>
    <w:rsid w:val="003F0190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EB9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45FD"/>
    <w:rsid w:val="004B5797"/>
    <w:rsid w:val="004B5DDC"/>
    <w:rsid w:val="004B6436"/>
    <w:rsid w:val="004B798E"/>
    <w:rsid w:val="004C0568"/>
    <w:rsid w:val="004C2ABD"/>
    <w:rsid w:val="004C3503"/>
    <w:rsid w:val="004C5F62"/>
    <w:rsid w:val="004D0A91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2B87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29A9"/>
    <w:rsid w:val="0057436C"/>
    <w:rsid w:val="00575DE3"/>
    <w:rsid w:val="00580B08"/>
    <w:rsid w:val="00582578"/>
    <w:rsid w:val="00582E69"/>
    <w:rsid w:val="0058621D"/>
    <w:rsid w:val="00586904"/>
    <w:rsid w:val="005A4CBE"/>
    <w:rsid w:val="005A5DC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39B"/>
    <w:rsid w:val="006635DE"/>
    <w:rsid w:val="00667399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347"/>
    <w:rsid w:val="006D7C6E"/>
    <w:rsid w:val="006E15A2"/>
    <w:rsid w:val="006E2F95"/>
    <w:rsid w:val="006F067D"/>
    <w:rsid w:val="006F148B"/>
    <w:rsid w:val="00705EAF"/>
    <w:rsid w:val="0070773E"/>
    <w:rsid w:val="007101CC"/>
    <w:rsid w:val="00712F58"/>
    <w:rsid w:val="00715C55"/>
    <w:rsid w:val="007216B3"/>
    <w:rsid w:val="00724E3B"/>
    <w:rsid w:val="00725EEA"/>
    <w:rsid w:val="007276B6"/>
    <w:rsid w:val="00730908"/>
    <w:rsid w:val="00730CE9"/>
    <w:rsid w:val="0073373D"/>
    <w:rsid w:val="00736B1E"/>
    <w:rsid w:val="00742956"/>
    <w:rsid w:val="007439DB"/>
    <w:rsid w:val="007464DA"/>
    <w:rsid w:val="007568D8"/>
    <w:rsid w:val="007571B8"/>
    <w:rsid w:val="007616B4"/>
    <w:rsid w:val="00765316"/>
    <w:rsid w:val="0077068D"/>
    <w:rsid w:val="007708C8"/>
    <w:rsid w:val="00771505"/>
    <w:rsid w:val="007744A9"/>
    <w:rsid w:val="0077719D"/>
    <w:rsid w:val="00780DF0"/>
    <w:rsid w:val="007810B7"/>
    <w:rsid w:val="00782F0F"/>
    <w:rsid w:val="0078538F"/>
    <w:rsid w:val="00787482"/>
    <w:rsid w:val="007A17CC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645"/>
    <w:rsid w:val="007C796D"/>
    <w:rsid w:val="007D6D97"/>
    <w:rsid w:val="007D73FB"/>
    <w:rsid w:val="007D7608"/>
    <w:rsid w:val="007E2F2D"/>
    <w:rsid w:val="007E4340"/>
    <w:rsid w:val="007E62F6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7B1C"/>
    <w:rsid w:val="0082153D"/>
    <w:rsid w:val="008255AA"/>
    <w:rsid w:val="00830FF3"/>
    <w:rsid w:val="008334BF"/>
    <w:rsid w:val="00836B8C"/>
    <w:rsid w:val="00840062"/>
    <w:rsid w:val="008410C5"/>
    <w:rsid w:val="00843FCF"/>
    <w:rsid w:val="00846C08"/>
    <w:rsid w:val="00850794"/>
    <w:rsid w:val="00850E61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731"/>
    <w:rsid w:val="00887615"/>
    <w:rsid w:val="00890052"/>
    <w:rsid w:val="008947AE"/>
    <w:rsid w:val="00894E3A"/>
    <w:rsid w:val="00894FE0"/>
    <w:rsid w:val="00895A2F"/>
    <w:rsid w:val="00896EBD"/>
    <w:rsid w:val="008A026F"/>
    <w:rsid w:val="008A2C1B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502"/>
    <w:rsid w:val="00903D0D"/>
    <w:rsid w:val="009048E1"/>
    <w:rsid w:val="0090598C"/>
    <w:rsid w:val="00905CAB"/>
    <w:rsid w:val="009071BB"/>
    <w:rsid w:val="00913885"/>
    <w:rsid w:val="00913E50"/>
    <w:rsid w:val="00915ABF"/>
    <w:rsid w:val="00921CAD"/>
    <w:rsid w:val="00924B3F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145"/>
    <w:rsid w:val="00975676"/>
    <w:rsid w:val="00976467"/>
    <w:rsid w:val="00976D32"/>
    <w:rsid w:val="009844F7"/>
    <w:rsid w:val="009938F7"/>
    <w:rsid w:val="009943A8"/>
    <w:rsid w:val="00995A7D"/>
    <w:rsid w:val="009A05AA"/>
    <w:rsid w:val="009A2D5A"/>
    <w:rsid w:val="009A6509"/>
    <w:rsid w:val="009A6E2F"/>
    <w:rsid w:val="009B2969"/>
    <w:rsid w:val="009B2C7E"/>
    <w:rsid w:val="009B4385"/>
    <w:rsid w:val="009B6DBD"/>
    <w:rsid w:val="009C108A"/>
    <w:rsid w:val="009C2E47"/>
    <w:rsid w:val="009C6BFB"/>
    <w:rsid w:val="009D0C05"/>
    <w:rsid w:val="009D3A21"/>
    <w:rsid w:val="009E24B7"/>
    <w:rsid w:val="009E2C00"/>
    <w:rsid w:val="009E49AD"/>
    <w:rsid w:val="009E4CC5"/>
    <w:rsid w:val="009E66FE"/>
    <w:rsid w:val="009E70F4"/>
    <w:rsid w:val="009E72A3"/>
    <w:rsid w:val="009F1AD2"/>
    <w:rsid w:val="009F23EF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6353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010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3692"/>
    <w:rsid w:val="00AB4918"/>
    <w:rsid w:val="00AB4BC8"/>
    <w:rsid w:val="00AB6BA7"/>
    <w:rsid w:val="00AB7BE8"/>
    <w:rsid w:val="00AC448C"/>
    <w:rsid w:val="00AD0710"/>
    <w:rsid w:val="00AD4DB9"/>
    <w:rsid w:val="00AD63C0"/>
    <w:rsid w:val="00AD6B24"/>
    <w:rsid w:val="00AE35B2"/>
    <w:rsid w:val="00AE6AA0"/>
    <w:rsid w:val="00AF3E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0A13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357"/>
    <w:rsid w:val="00BB6724"/>
    <w:rsid w:val="00BC0EFB"/>
    <w:rsid w:val="00BC2E39"/>
    <w:rsid w:val="00BD2364"/>
    <w:rsid w:val="00BD28E3"/>
    <w:rsid w:val="00BD329D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8C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47B1A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49C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7A08"/>
    <w:rsid w:val="00CC1E65"/>
    <w:rsid w:val="00CC567A"/>
    <w:rsid w:val="00CD4059"/>
    <w:rsid w:val="00CD4E5A"/>
    <w:rsid w:val="00CD6AFD"/>
    <w:rsid w:val="00CE03CE"/>
    <w:rsid w:val="00CE0F5D"/>
    <w:rsid w:val="00CE1A6A"/>
    <w:rsid w:val="00CE245E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29F"/>
    <w:rsid w:val="00D63575"/>
    <w:rsid w:val="00D64074"/>
    <w:rsid w:val="00D65777"/>
    <w:rsid w:val="00D728A0"/>
    <w:rsid w:val="00D74018"/>
    <w:rsid w:val="00D81480"/>
    <w:rsid w:val="00D83661"/>
    <w:rsid w:val="00D9216A"/>
    <w:rsid w:val="00D95BBB"/>
    <w:rsid w:val="00D966F0"/>
    <w:rsid w:val="00D97E7D"/>
    <w:rsid w:val="00DA2A06"/>
    <w:rsid w:val="00DB1C8C"/>
    <w:rsid w:val="00DB3439"/>
    <w:rsid w:val="00DB3618"/>
    <w:rsid w:val="00DB468A"/>
    <w:rsid w:val="00DB4870"/>
    <w:rsid w:val="00DB5014"/>
    <w:rsid w:val="00DC2946"/>
    <w:rsid w:val="00DC29ED"/>
    <w:rsid w:val="00DC4340"/>
    <w:rsid w:val="00DC4624"/>
    <w:rsid w:val="00DC550F"/>
    <w:rsid w:val="00DC64FD"/>
    <w:rsid w:val="00DD53C3"/>
    <w:rsid w:val="00DD669D"/>
    <w:rsid w:val="00DE127F"/>
    <w:rsid w:val="00DE1B08"/>
    <w:rsid w:val="00DE424A"/>
    <w:rsid w:val="00DE4419"/>
    <w:rsid w:val="00DE67C4"/>
    <w:rsid w:val="00DF0ACA"/>
    <w:rsid w:val="00DF2245"/>
    <w:rsid w:val="00DF2521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305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6928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522F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1D49"/>
    <w:rsid w:val="00F61FB7"/>
    <w:rsid w:val="00F62DEC"/>
    <w:rsid w:val="00F65AFF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A8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89AD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B7C5-BA08-4502-A3C9-FC9D28E1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1718</Words>
  <Characters>10140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28</cp:revision>
  <cp:lastPrinted>2025-09-12T07:48:00Z</cp:lastPrinted>
  <dcterms:created xsi:type="dcterms:W3CDTF">2025-03-10T12:45:00Z</dcterms:created>
  <dcterms:modified xsi:type="dcterms:W3CDTF">2025-09-12T07:48:00Z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