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5C23D6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C23D6">
        <w:rPr>
          <w:b/>
          <w:szCs w:val="22"/>
        </w:rPr>
        <w:t>PŘÍLOHA I</w:t>
      </w:r>
    </w:p>
    <w:p w14:paraId="50FE88E4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5C23D6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C23D6">
        <w:rPr>
          <w:b/>
          <w:szCs w:val="22"/>
        </w:rPr>
        <w:t>SOUHRN ÚDAJŮ O PŘÍPRAVKU</w:t>
      </w:r>
    </w:p>
    <w:p w14:paraId="70A64732" w14:textId="77777777" w:rsidR="00C114FF" w:rsidRPr="005C23D6" w:rsidRDefault="00C605FD" w:rsidP="00B13B6D">
      <w:pPr>
        <w:pStyle w:val="Style1"/>
      </w:pPr>
      <w:r w:rsidRPr="005C23D6">
        <w:br w:type="page"/>
      </w:r>
      <w:r w:rsidRPr="005C23D6">
        <w:lastRenderedPageBreak/>
        <w:t>1.</w:t>
      </w:r>
      <w:r w:rsidRPr="005C23D6">
        <w:tab/>
        <w:t>NÁZEV VETERINÁRNÍHO LÉČIVÉHO PŘÍPRAVKU</w:t>
      </w:r>
    </w:p>
    <w:p w14:paraId="3606368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8EA2DD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Torphadine 10 mg/ml injekční roztok pro psy, kočky a koně</w:t>
      </w:r>
    </w:p>
    <w:p w14:paraId="7245778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5C23D6" w:rsidRDefault="00C605FD" w:rsidP="00B13B6D">
      <w:pPr>
        <w:pStyle w:val="Style1"/>
      </w:pPr>
      <w:r w:rsidRPr="005C23D6">
        <w:t>2.</w:t>
      </w:r>
      <w:r w:rsidRPr="005C23D6">
        <w:tab/>
        <w:t>KVALITATIVNÍ A KVANTITATIVNÍ SLOŽENÍ</w:t>
      </w:r>
    </w:p>
    <w:p w14:paraId="3EAF4F83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4C2F5" w14:textId="62F54FD6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Každý ml obsahuje:</w:t>
      </w:r>
    </w:p>
    <w:p w14:paraId="6857FFC0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</w:p>
    <w:p w14:paraId="12FB6549" w14:textId="3C9CD51A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b/>
          <w:bCs/>
          <w:szCs w:val="22"/>
        </w:rPr>
        <w:t>Léčivá látka</w:t>
      </w:r>
      <w:r w:rsidRPr="005C23D6">
        <w:rPr>
          <w:szCs w:val="22"/>
        </w:rPr>
        <w:t>:</w:t>
      </w:r>
    </w:p>
    <w:p w14:paraId="516950A6" w14:textId="60CE81B2" w:rsidR="007F70EB" w:rsidRPr="005C23D6" w:rsidRDefault="007F70EB" w:rsidP="007F70EB">
      <w:pPr>
        <w:tabs>
          <w:tab w:val="clear" w:pos="567"/>
          <w:tab w:val="left" w:pos="2410"/>
          <w:tab w:val="left" w:pos="2835"/>
        </w:tabs>
        <w:spacing w:line="240" w:lineRule="auto"/>
        <w:rPr>
          <w:szCs w:val="22"/>
        </w:rPr>
      </w:pPr>
      <w:r w:rsidRPr="005C23D6">
        <w:rPr>
          <w:szCs w:val="22"/>
        </w:rPr>
        <w:t>Butorphanolum</w:t>
      </w:r>
      <w:r w:rsidR="006370A5">
        <w:rPr>
          <w:szCs w:val="22"/>
        </w:rPr>
        <w:tab/>
      </w:r>
      <w:r w:rsidR="006370A5">
        <w:rPr>
          <w:szCs w:val="22"/>
        </w:rPr>
        <w:tab/>
      </w:r>
      <w:r w:rsidRPr="005C23D6">
        <w:rPr>
          <w:szCs w:val="22"/>
        </w:rPr>
        <w:t>10,0 mg</w:t>
      </w:r>
    </w:p>
    <w:p w14:paraId="5047D3CF" w14:textId="77777777" w:rsidR="007F70EB" w:rsidRPr="005C23D6" w:rsidRDefault="007F70EB" w:rsidP="007F70EB">
      <w:pPr>
        <w:tabs>
          <w:tab w:val="clear" w:pos="567"/>
          <w:tab w:val="left" w:pos="2835"/>
        </w:tabs>
        <w:spacing w:line="240" w:lineRule="auto"/>
        <w:rPr>
          <w:szCs w:val="22"/>
        </w:rPr>
      </w:pPr>
      <w:r w:rsidRPr="005C23D6">
        <w:rPr>
          <w:szCs w:val="22"/>
        </w:rPr>
        <w:t>(odpovídá butorphanoli tartras 14,58 mg)</w:t>
      </w:r>
    </w:p>
    <w:p w14:paraId="6E958E6D" w14:textId="77777777" w:rsidR="007F70EB" w:rsidRPr="005C23D6" w:rsidRDefault="007F70EB" w:rsidP="007F70EB">
      <w:pPr>
        <w:tabs>
          <w:tab w:val="clear" w:pos="567"/>
          <w:tab w:val="left" w:pos="2835"/>
        </w:tabs>
        <w:spacing w:line="240" w:lineRule="auto"/>
        <w:rPr>
          <w:szCs w:val="22"/>
        </w:rPr>
      </w:pPr>
    </w:p>
    <w:p w14:paraId="13C45036" w14:textId="71D25C59" w:rsidR="00C114FF" w:rsidRPr="005C23D6" w:rsidRDefault="007F70EB" w:rsidP="00A9226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b/>
          <w:bCs/>
          <w:szCs w:val="22"/>
        </w:rPr>
        <w:t>Pomocné látky</w:t>
      </w:r>
      <w:r w:rsidRPr="005C23D6">
        <w:rPr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E103CA" w:rsidRPr="005C23D6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4F0982F3" w:rsidR="00872C48" w:rsidRPr="005C23D6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C23D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DD9328F" w:rsidR="00872C48" w:rsidRPr="005C23D6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C23D6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103CA" w:rsidRPr="005C23D6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69F2F8F5" w:rsidR="00872C48" w:rsidRPr="005C23D6" w:rsidRDefault="008E11D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C23D6">
              <w:rPr>
                <w:szCs w:val="22"/>
              </w:rPr>
              <w:t>Benzethonium-chlorid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47F50CDC" w:rsidR="00872C48" w:rsidRPr="005C23D6" w:rsidRDefault="005E365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 mg</w:t>
            </w:r>
          </w:p>
        </w:tc>
      </w:tr>
      <w:tr w:rsidR="00E103CA" w:rsidRPr="005C23D6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0A5DBACA" w:rsidR="00872C48" w:rsidRPr="005C23D6" w:rsidRDefault="008E11D7" w:rsidP="00617B81">
            <w:pPr>
              <w:spacing w:before="60" w:after="60"/>
              <w:rPr>
                <w:iCs/>
                <w:szCs w:val="22"/>
              </w:rPr>
            </w:pPr>
            <w:r w:rsidRPr="005C23D6">
              <w:rPr>
                <w:szCs w:val="22"/>
              </w:rPr>
              <w:t>Kyselina citronová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5C23D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:rsidRPr="005C23D6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2F33B0EC" w:rsidR="00872C48" w:rsidRPr="005C23D6" w:rsidRDefault="008E11D7" w:rsidP="00617B81">
            <w:pPr>
              <w:spacing w:before="60" w:after="60"/>
              <w:rPr>
                <w:iCs/>
                <w:szCs w:val="22"/>
              </w:rPr>
            </w:pPr>
            <w:r w:rsidRPr="005C23D6">
              <w:rPr>
                <w:szCs w:val="22"/>
              </w:rPr>
              <w:t>Natrium-citrát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5C23D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:rsidRPr="005C23D6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772D4B21" w:rsidR="00872C48" w:rsidRPr="005C23D6" w:rsidRDefault="008E11D7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5C23D6">
              <w:rPr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5C23D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:rsidRPr="005C23D6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1D27E5FB" w:rsidR="00872C48" w:rsidRPr="005C23D6" w:rsidRDefault="008E11D7" w:rsidP="00617B81">
            <w:pPr>
              <w:spacing w:before="60" w:after="60"/>
              <w:rPr>
                <w:iCs/>
                <w:szCs w:val="22"/>
              </w:rPr>
            </w:pPr>
            <w:r w:rsidRPr="005C23D6">
              <w:rPr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5C23D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5C23D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AC2F8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Čirý bezbarvý roztok</w:t>
      </w:r>
    </w:p>
    <w:p w14:paraId="6863D878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5C23D6" w:rsidRDefault="00C605FD" w:rsidP="00B13B6D">
      <w:pPr>
        <w:pStyle w:val="Style1"/>
      </w:pPr>
      <w:r w:rsidRPr="005C23D6">
        <w:t>3.</w:t>
      </w:r>
      <w:r w:rsidRPr="005C23D6">
        <w:tab/>
        <w:t>KLINICKÉ INFORMACE</w:t>
      </w:r>
    </w:p>
    <w:p w14:paraId="03304F78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5C23D6" w:rsidRDefault="00C605FD" w:rsidP="00B13B6D">
      <w:pPr>
        <w:pStyle w:val="Style1"/>
      </w:pPr>
      <w:r w:rsidRPr="005C23D6">
        <w:t>3.1</w:t>
      </w:r>
      <w:r w:rsidRPr="005C23D6">
        <w:tab/>
        <w:t>Cílové druhy zvířat</w:t>
      </w:r>
    </w:p>
    <w:p w14:paraId="20FFAC3D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CEE3F3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Psi, kočky a koně.</w:t>
      </w:r>
    </w:p>
    <w:p w14:paraId="6254B8BF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5C23D6" w:rsidRDefault="00C605FD" w:rsidP="00B13B6D">
      <w:pPr>
        <w:pStyle w:val="Style1"/>
      </w:pPr>
      <w:r w:rsidRPr="005C23D6">
        <w:t>3.2</w:t>
      </w:r>
      <w:r w:rsidRPr="005C23D6">
        <w:tab/>
        <w:t xml:space="preserve">Indikace pro použití pro každý cílový druh </w:t>
      </w:r>
      <w:r w:rsidR="0043586F" w:rsidRPr="005C23D6">
        <w:t>zvířat</w:t>
      </w:r>
    </w:p>
    <w:p w14:paraId="327E3A6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15696" w14:textId="74963BD6" w:rsidR="007F70EB" w:rsidRPr="001A36F0" w:rsidRDefault="007F70EB" w:rsidP="007F70E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A36F0">
        <w:rPr>
          <w:szCs w:val="22"/>
          <w:u w:val="single"/>
        </w:rPr>
        <w:t>Pes</w:t>
      </w:r>
      <w:r w:rsidR="000F4741">
        <w:rPr>
          <w:szCs w:val="22"/>
          <w:u w:val="single"/>
        </w:rPr>
        <w:t>:</w:t>
      </w:r>
    </w:p>
    <w:p w14:paraId="66838D16" w14:textId="77777777" w:rsidR="007F70EB" w:rsidRPr="001A36F0" w:rsidRDefault="007F70EB" w:rsidP="007F70EB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bookmarkStart w:id="0" w:name="_Hlk78371413"/>
      <w:r w:rsidRPr="001A36F0">
        <w:rPr>
          <w:i/>
          <w:iCs/>
          <w:szCs w:val="22"/>
        </w:rPr>
        <w:t xml:space="preserve">Jako </w:t>
      </w:r>
      <w:bookmarkEnd w:id="0"/>
      <w:r w:rsidRPr="001A36F0">
        <w:rPr>
          <w:i/>
          <w:iCs/>
          <w:szCs w:val="22"/>
        </w:rPr>
        <w:t>analgetikum:</w:t>
      </w:r>
    </w:p>
    <w:p w14:paraId="5FC86D11" w14:textId="77777777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Úleva od mírné až středně silné bolesti </w:t>
      </w:r>
      <w:r w:rsidRPr="005C23D6">
        <w:rPr>
          <w:color w:val="000000"/>
          <w:szCs w:val="22"/>
        </w:rPr>
        <w:t>viscerálního původu</w:t>
      </w:r>
      <w:r w:rsidRPr="005C23D6">
        <w:rPr>
          <w:szCs w:val="22"/>
        </w:rPr>
        <w:t xml:space="preserve">. </w:t>
      </w:r>
    </w:p>
    <w:p w14:paraId="270D0A7B" w14:textId="77777777" w:rsidR="007F70EB" w:rsidRPr="001A36F0" w:rsidRDefault="007F70EB" w:rsidP="007F70EB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  <w:r w:rsidRPr="001A36F0">
        <w:rPr>
          <w:i/>
          <w:iCs/>
          <w:szCs w:val="22"/>
        </w:rPr>
        <w:t>Jako sedativum:</w:t>
      </w:r>
    </w:p>
    <w:p w14:paraId="3A57DA57" w14:textId="2A0BD048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Sedace</w:t>
      </w:r>
      <w:r w:rsidRPr="005C23D6" w:rsidDel="00197968">
        <w:rPr>
          <w:szCs w:val="22"/>
        </w:rPr>
        <w:t xml:space="preserve"> </w:t>
      </w:r>
      <w:r w:rsidRPr="005C23D6">
        <w:rPr>
          <w:szCs w:val="22"/>
        </w:rPr>
        <w:t>při použití v kombinaci s </w:t>
      </w:r>
      <w:r w:rsidR="00FD12E2">
        <w:rPr>
          <w:szCs w:val="22"/>
        </w:rPr>
        <w:t>určitými</w:t>
      </w:r>
      <w:r w:rsidR="00FD12E2" w:rsidRPr="005C23D6">
        <w:rPr>
          <w:szCs w:val="22"/>
        </w:rPr>
        <w:t xml:space="preserve"> </w:t>
      </w:r>
      <w:r w:rsidRPr="005C23D6">
        <w:rPr>
          <w:szCs w:val="22"/>
        </w:rPr>
        <w:t>agonisty alfa2-adrenoreceptorů (</w:t>
      </w:r>
      <w:proofErr w:type="spellStart"/>
      <w:r w:rsidRPr="005C23D6">
        <w:rPr>
          <w:szCs w:val="22"/>
        </w:rPr>
        <w:t>medetomidin</w:t>
      </w:r>
      <w:proofErr w:type="spellEnd"/>
      <w:r w:rsidRPr="005C23D6">
        <w:rPr>
          <w:szCs w:val="22"/>
        </w:rPr>
        <w:t xml:space="preserve">). </w:t>
      </w:r>
    </w:p>
    <w:p w14:paraId="57600449" w14:textId="77777777" w:rsidR="007F70EB" w:rsidRPr="001A36F0" w:rsidRDefault="007F70EB" w:rsidP="007F70EB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1A36F0">
        <w:rPr>
          <w:i/>
          <w:iCs/>
          <w:szCs w:val="22"/>
        </w:rPr>
        <w:t>Jako premedikace před celkovou anestezií:</w:t>
      </w:r>
    </w:p>
    <w:p w14:paraId="199145B4" w14:textId="77777777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Použití v kombinaci s acepromazinem pro dosažení analgezie a sedace před indukcí celkové anestezie. </w:t>
      </w:r>
      <w:bookmarkStart w:id="1" w:name="_Hlk80700550"/>
      <w:r w:rsidRPr="005C23D6">
        <w:rPr>
          <w:szCs w:val="22"/>
        </w:rPr>
        <w:t>Umožňuje</w:t>
      </w:r>
      <w:bookmarkEnd w:id="1"/>
      <w:r w:rsidRPr="005C23D6">
        <w:rPr>
          <w:szCs w:val="22"/>
        </w:rPr>
        <w:t xml:space="preserve"> rovněž snížení dávky indukčního anestetika (propofolu nebo thiopentalu). </w:t>
      </w:r>
    </w:p>
    <w:p w14:paraId="752BD46B" w14:textId="77777777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80700576"/>
      <w:r w:rsidRPr="005C23D6">
        <w:rPr>
          <w:szCs w:val="22"/>
        </w:rPr>
        <w:t>K premedikaci, podat jako jediný preanestetický přípravek.</w:t>
      </w:r>
    </w:p>
    <w:bookmarkEnd w:id="2"/>
    <w:p w14:paraId="2D80F865" w14:textId="77777777" w:rsidR="007F70EB" w:rsidRPr="001A36F0" w:rsidRDefault="007F70EB" w:rsidP="007F70EB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  <w:r w:rsidRPr="001A36F0">
        <w:rPr>
          <w:i/>
          <w:iCs/>
          <w:szCs w:val="22"/>
        </w:rPr>
        <w:t>Jako anestetikum:</w:t>
      </w:r>
    </w:p>
    <w:p w14:paraId="47C60758" w14:textId="77777777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Anestezie při použití v kombinaci s medetomidinem a ketaminem</w:t>
      </w:r>
    </w:p>
    <w:p w14:paraId="13148DD8" w14:textId="77777777" w:rsidR="007F70EB" w:rsidRPr="005C23D6" w:rsidRDefault="007F70EB" w:rsidP="007F70EB">
      <w:pPr>
        <w:spacing w:line="240" w:lineRule="auto"/>
        <w:jc w:val="both"/>
        <w:rPr>
          <w:bCs/>
          <w:szCs w:val="22"/>
        </w:rPr>
      </w:pPr>
    </w:p>
    <w:p w14:paraId="169246E7" w14:textId="2C792514" w:rsidR="007F70EB" w:rsidRPr="001A36F0" w:rsidRDefault="007F70EB" w:rsidP="007F70EB">
      <w:pPr>
        <w:spacing w:line="240" w:lineRule="auto"/>
        <w:jc w:val="both"/>
        <w:rPr>
          <w:szCs w:val="22"/>
          <w:u w:val="single"/>
        </w:rPr>
      </w:pPr>
      <w:r w:rsidRPr="001A36F0">
        <w:rPr>
          <w:szCs w:val="22"/>
          <w:u w:val="single"/>
        </w:rPr>
        <w:t>Kočka</w:t>
      </w:r>
      <w:r w:rsidR="000F4741">
        <w:rPr>
          <w:szCs w:val="22"/>
          <w:u w:val="single"/>
        </w:rPr>
        <w:t>:</w:t>
      </w:r>
    </w:p>
    <w:p w14:paraId="04B6BE93" w14:textId="326B6550" w:rsidR="007F70EB" w:rsidRPr="001A36F0" w:rsidRDefault="007F70EB" w:rsidP="007F70EB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1A36F0">
        <w:rPr>
          <w:i/>
          <w:iCs/>
          <w:szCs w:val="22"/>
        </w:rPr>
        <w:t xml:space="preserve">Jako analgetikum pro úlevu od středně silné bolesti: </w:t>
      </w:r>
    </w:p>
    <w:p w14:paraId="71B9B8C8" w14:textId="77777777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80700605"/>
      <w:r w:rsidRPr="005C23D6">
        <w:rPr>
          <w:szCs w:val="22"/>
        </w:rPr>
        <w:t xml:space="preserve">Předoperační použití k poskytnutí analgezie během chirurgického zákroku. </w:t>
      </w:r>
    </w:p>
    <w:p w14:paraId="7CF2D760" w14:textId="77777777" w:rsidR="007F70EB" w:rsidRPr="005C23D6" w:rsidRDefault="007F70EB" w:rsidP="007F70E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Pooperační analgezie po drobných chirurgických zákrocích. </w:t>
      </w:r>
    </w:p>
    <w:bookmarkEnd w:id="3"/>
    <w:p w14:paraId="0B3D6E7F" w14:textId="77777777" w:rsidR="007F70EB" w:rsidRPr="001A36F0" w:rsidRDefault="007F70EB" w:rsidP="007F70EB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1A36F0">
        <w:rPr>
          <w:i/>
          <w:iCs/>
          <w:szCs w:val="22"/>
        </w:rPr>
        <w:t>Jako sedativum:</w:t>
      </w:r>
    </w:p>
    <w:p w14:paraId="4EC4B1E9" w14:textId="77777777" w:rsidR="007F70EB" w:rsidRPr="005C23D6" w:rsidRDefault="007F70EB" w:rsidP="007F70EB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Sedace při použití v kombinaci s některými agonisty alfa2-adrenoreceptorů (medetomidin). </w:t>
      </w:r>
    </w:p>
    <w:p w14:paraId="6AEA2530" w14:textId="77777777" w:rsidR="007F70EB" w:rsidRPr="001A36F0" w:rsidRDefault="007F70EB" w:rsidP="007F70EB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  <w:r w:rsidRPr="001A36F0">
        <w:rPr>
          <w:i/>
          <w:iCs/>
          <w:szCs w:val="22"/>
        </w:rPr>
        <w:t>Jako anestetikum:</w:t>
      </w:r>
    </w:p>
    <w:p w14:paraId="33A191B5" w14:textId="77777777" w:rsidR="007F70EB" w:rsidRPr="005C23D6" w:rsidRDefault="007F70EB" w:rsidP="007F70EB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lastRenderedPageBreak/>
        <w:t>Anestezie při použití v kombinaci s medetomidinem a ketaminem, vhodné pro krátké bolestivé zákroky.</w:t>
      </w:r>
    </w:p>
    <w:p w14:paraId="585F9C8D" w14:textId="77777777" w:rsidR="007F70EB" w:rsidRPr="005C23D6" w:rsidRDefault="007F70EB" w:rsidP="007F70EB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6705B838" w14:textId="615D0598" w:rsidR="007F70EB" w:rsidRPr="00B33B13" w:rsidRDefault="007F70EB" w:rsidP="007F70E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33B13">
        <w:rPr>
          <w:szCs w:val="22"/>
          <w:u w:val="single"/>
        </w:rPr>
        <w:t>Kůň</w:t>
      </w:r>
      <w:r w:rsidR="000F4741">
        <w:rPr>
          <w:szCs w:val="22"/>
          <w:u w:val="single"/>
        </w:rPr>
        <w:t>:</w:t>
      </w:r>
    </w:p>
    <w:p w14:paraId="617924DE" w14:textId="1143C275" w:rsidR="007F70EB" w:rsidRPr="00B33B13" w:rsidRDefault="007F70EB" w:rsidP="007F70EB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B33B13">
        <w:rPr>
          <w:i/>
          <w:iCs/>
          <w:szCs w:val="22"/>
        </w:rPr>
        <w:t>Jako analgetikum:</w:t>
      </w:r>
    </w:p>
    <w:p w14:paraId="7F884165" w14:textId="77777777" w:rsidR="007F70EB" w:rsidRPr="005C23D6" w:rsidRDefault="007F70EB" w:rsidP="007F70EB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Úleva od středně silné až silné bolesti břicha spojené s kolikou gastrointestinálního původu. </w:t>
      </w:r>
    </w:p>
    <w:p w14:paraId="2941BD59" w14:textId="77777777" w:rsidR="007F70EB" w:rsidRPr="00B33B13" w:rsidRDefault="007F70EB" w:rsidP="007F70EB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B33B13">
        <w:rPr>
          <w:i/>
          <w:iCs/>
          <w:szCs w:val="22"/>
        </w:rPr>
        <w:t>Jako sedativum:</w:t>
      </w:r>
    </w:p>
    <w:p w14:paraId="5A09CA56" w14:textId="77777777" w:rsidR="007F70EB" w:rsidRPr="005C23D6" w:rsidRDefault="007F70EB" w:rsidP="007F70EB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Sedace po podání některých agonistů alfa2-adrenoreceptorů (detomidin, romifidin). </w:t>
      </w:r>
    </w:p>
    <w:p w14:paraId="45A9E78C" w14:textId="77777777" w:rsidR="00E86CEE" w:rsidRPr="005C23D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5C23D6" w:rsidRDefault="00C605FD" w:rsidP="00B13B6D">
      <w:pPr>
        <w:pStyle w:val="Style1"/>
      </w:pPr>
      <w:r w:rsidRPr="005C23D6">
        <w:t>3.3</w:t>
      </w:r>
      <w:r w:rsidRPr="005C23D6">
        <w:tab/>
        <w:t>Kontraindikace</w:t>
      </w:r>
    </w:p>
    <w:p w14:paraId="758D96B3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F74AA7" w14:textId="36B98DC4" w:rsidR="007F70EB" w:rsidRPr="00B33B13" w:rsidRDefault="007F70EB" w:rsidP="007F70EB">
      <w:pPr>
        <w:pStyle w:val="BODY"/>
        <w:spacing w:after="0"/>
        <w:rPr>
          <w:szCs w:val="22"/>
          <w:u w:val="single"/>
          <w:lang w:val="cs-CZ"/>
        </w:rPr>
      </w:pPr>
      <w:r w:rsidRPr="00B33B13">
        <w:rPr>
          <w:szCs w:val="22"/>
          <w:u w:val="single"/>
          <w:lang w:val="cs-CZ"/>
        </w:rPr>
        <w:t>Všechny cílové druhy zvířat</w:t>
      </w:r>
      <w:r w:rsidR="000F4741">
        <w:rPr>
          <w:szCs w:val="22"/>
          <w:u w:val="single"/>
          <w:lang w:val="cs-CZ"/>
        </w:rPr>
        <w:t>:</w:t>
      </w:r>
    </w:p>
    <w:p w14:paraId="0546E2E5" w14:textId="77777777" w:rsidR="007F70EB" w:rsidRPr="005C23D6" w:rsidRDefault="007F70EB" w:rsidP="007F70EB">
      <w:pPr>
        <w:pStyle w:val="Zkladntextodsazen"/>
        <w:ind w:left="0" w:firstLine="0"/>
        <w:rPr>
          <w:b w:val="0"/>
          <w:szCs w:val="22"/>
        </w:rPr>
      </w:pPr>
      <w:r w:rsidRPr="005C23D6">
        <w:rPr>
          <w:b w:val="0"/>
          <w:szCs w:val="22"/>
        </w:rPr>
        <w:t xml:space="preserve">Nepoužívat u zvířat se závažnou dysfunkcí jater nebo ledvin. </w:t>
      </w:r>
    </w:p>
    <w:p w14:paraId="0B7B118F" w14:textId="77777777" w:rsidR="007F70EB" w:rsidRPr="005C23D6" w:rsidRDefault="007F70EB" w:rsidP="007F70EB">
      <w:pPr>
        <w:pStyle w:val="Zkladntextodsazen"/>
        <w:ind w:left="0" w:firstLine="0"/>
        <w:rPr>
          <w:b w:val="0"/>
          <w:szCs w:val="22"/>
        </w:rPr>
      </w:pPr>
      <w:r w:rsidRPr="005C23D6">
        <w:rPr>
          <w:b w:val="0"/>
          <w:szCs w:val="22"/>
        </w:rPr>
        <w:t>Nepoužívat u zvířat s poraněním mozku nebo s organickými lézemi mozku.</w:t>
      </w:r>
    </w:p>
    <w:p w14:paraId="0B5D4E6E" w14:textId="77777777" w:rsidR="007F70EB" w:rsidRDefault="007F70EB" w:rsidP="007F70EB">
      <w:pPr>
        <w:pStyle w:val="Zkladntextodsazen"/>
        <w:ind w:left="0" w:firstLine="0"/>
        <w:rPr>
          <w:b w:val="0"/>
          <w:szCs w:val="22"/>
        </w:rPr>
      </w:pPr>
      <w:bookmarkStart w:id="4" w:name="_Hlk80700666"/>
      <w:r w:rsidRPr="005C23D6">
        <w:rPr>
          <w:b w:val="0"/>
          <w:szCs w:val="22"/>
        </w:rPr>
        <w:t xml:space="preserve">Nepoužívat u zvířat s obstrukční nemocí dýchacího systému, srdeční dysfunkcí nebo </w:t>
      </w:r>
      <w:bookmarkEnd w:id="4"/>
      <w:r w:rsidRPr="005C23D6">
        <w:rPr>
          <w:b w:val="0"/>
          <w:szCs w:val="22"/>
        </w:rPr>
        <w:t>spastickými stavy.</w:t>
      </w:r>
    </w:p>
    <w:p w14:paraId="6F2B0DE2" w14:textId="1630AC8E" w:rsidR="005E3658" w:rsidRPr="005E3658" w:rsidRDefault="005E3658" w:rsidP="007F70EB">
      <w:pPr>
        <w:pStyle w:val="Zkladntextodsazen"/>
        <w:ind w:left="0" w:firstLine="0"/>
        <w:rPr>
          <w:b w:val="0"/>
          <w:bCs/>
          <w:szCs w:val="22"/>
        </w:rPr>
      </w:pPr>
      <w:r w:rsidRPr="00B33B13">
        <w:rPr>
          <w:b w:val="0"/>
          <w:bCs/>
        </w:rPr>
        <w:t>Nepoužívat v případech přecitlivělosti na léčivou látku nebo na některou z pomocných látek</w:t>
      </w:r>
      <w:r>
        <w:rPr>
          <w:b w:val="0"/>
          <w:bCs/>
        </w:rPr>
        <w:t>.</w:t>
      </w:r>
    </w:p>
    <w:p w14:paraId="15967D46" w14:textId="607E330F" w:rsidR="007F70EB" w:rsidRPr="005C23D6" w:rsidRDefault="007F70EB" w:rsidP="007F70EB">
      <w:pPr>
        <w:pStyle w:val="Zkladntextodsazen"/>
        <w:rPr>
          <w:b w:val="0"/>
          <w:szCs w:val="22"/>
        </w:rPr>
      </w:pPr>
    </w:p>
    <w:p w14:paraId="49509975" w14:textId="43AE70B4" w:rsidR="007F70EB" w:rsidRPr="00B33B13" w:rsidRDefault="007F70EB" w:rsidP="007F70EB">
      <w:pPr>
        <w:pStyle w:val="Zkladntextodsazen"/>
        <w:rPr>
          <w:b w:val="0"/>
          <w:szCs w:val="22"/>
          <w:u w:val="single"/>
        </w:rPr>
      </w:pPr>
      <w:r w:rsidRPr="00B33B13">
        <w:rPr>
          <w:b w:val="0"/>
          <w:szCs w:val="22"/>
          <w:u w:val="single"/>
        </w:rPr>
        <w:t>Kůň</w:t>
      </w:r>
      <w:r w:rsidR="000F4741">
        <w:rPr>
          <w:b w:val="0"/>
          <w:szCs w:val="22"/>
          <w:u w:val="single"/>
        </w:rPr>
        <w:t>:</w:t>
      </w:r>
    </w:p>
    <w:p w14:paraId="341BEBBB" w14:textId="77777777" w:rsidR="007F70EB" w:rsidRPr="00DD39A3" w:rsidRDefault="007F70EB" w:rsidP="007F70EB">
      <w:pPr>
        <w:pStyle w:val="Zkladntextodsazen"/>
        <w:rPr>
          <w:b w:val="0"/>
          <w:i/>
          <w:iCs/>
          <w:szCs w:val="22"/>
        </w:rPr>
      </w:pPr>
      <w:r w:rsidRPr="00DD39A3">
        <w:rPr>
          <w:b w:val="0"/>
          <w:i/>
          <w:iCs/>
          <w:szCs w:val="22"/>
        </w:rPr>
        <w:t>Kombinace butorfanolu a detomidin hydrochloridu:</w:t>
      </w:r>
    </w:p>
    <w:p w14:paraId="2E2F30B0" w14:textId="77777777" w:rsidR="007F70EB" w:rsidRPr="005C23D6" w:rsidRDefault="007F70EB" w:rsidP="007F70EB">
      <w:pPr>
        <w:pStyle w:val="Zkladntextodsazen"/>
        <w:ind w:left="0" w:firstLine="0"/>
        <w:rPr>
          <w:b w:val="0"/>
          <w:szCs w:val="22"/>
        </w:rPr>
      </w:pPr>
      <w:bookmarkStart w:id="5" w:name="_Hlk80700687"/>
      <w:r w:rsidRPr="005C23D6">
        <w:rPr>
          <w:b w:val="0"/>
          <w:szCs w:val="22"/>
        </w:rPr>
        <w:t>Nepoužívat u koní s anamnézou srdeční dysrytmie nebo bradykardie.</w:t>
      </w:r>
    </w:p>
    <w:bookmarkEnd w:id="5"/>
    <w:p w14:paraId="636B9BEA" w14:textId="77777777" w:rsidR="007F70EB" w:rsidRPr="005C23D6" w:rsidRDefault="007F70EB" w:rsidP="007F70EB">
      <w:pPr>
        <w:pStyle w:val="Zkladntextodsazen"/>
        <w:ind w:left="0" w:firstLine="0"/>
        <w:rPr>
          <w:b w:val="0"/>
          <w:szCs w:val="22"/>
        </w:rPr>
      </w:pPr>
      <w:r w:rsidRPr="005C23D6">
        <w:rPr>
          <w:b w:val="0"/>
          <w:szCs w:val="22"/>
        </w:rPr>
        <w:t xml:space="preserve">Nepoužívat v případech kolik spojených s obstipací, protože tato kombinace způsobuje snížení gastrointestinální motility. </w:t>
      </w:r>
    </w:p>
    <w:p w14:paraId="324940E4" w14:textId="77777777" w:rsidR="007F70EB" w:rsidRPr="005C23D6" w:rsidRDefault="007F70EB" w:rsidP="007F70EB">
      <w:pPr>
        <w:pStyle w:val="Zkladntextodsazen"/>
        <w:ind w:left="0" w:firstLine="0"/>
        <w:rPr>
          <w:b w:val="0"/>
          <w:szCs w:val="22"/>
        </w:rPr>
      </w:pPr>
      <w:r w:rsidRPr="005C23D6">
        <w:rPr>
          <w:b w:val="0"/>
          <w:szCs w:val="22"/>
        </w:rPr>
        <w:t>Nepoužívat u koní s emfyzémem kvůli možnému tlumícímu účinku na dýchací systém.</w:t>
      </w:r>
    </w:p>
    <w:p w14:paraId="3F4B3F59" w14:textId="77777777" w:rsidR="007F70EB" w:rsidRPr="005C23D6" w:rsidRDefault="007F70EB" w:rsidP="007F70EB">
      <w:pPr>
        <w:pStyle w:val="Zkladntextodsazen"/>
        <w:rPr>
          <w:b w:val="0"/>
          <w:szCs w:val="22"/>
        </w:rPr>
      </w:pPr>
      <w:r w:rsidRPr="005C23D6">
        <w:rPr>
          <w:b w:val="0"/>
          <w:szCs w:val="22"/>
        </w:rPr>
        <w:t xml:space="preserve">Nepoužívat u březích klisen. </w:t>
      </w:r>
    </w:p>
    <w:p w14:paraId="44CA0EFA" w14:textId="77777777" w:rsidR="007F70EB" w:rsidRPr="005C23D6" w:rsidRDefault="007F70EB" w:rsidP="007F70EB">
      <w:pPr>
        <w:pStyle w:val="Zkladntextodsazen"/>
        <w:rPr>
          <w:b w:val="0"/>
          <w:szCs w:val="22"/>
        </w:rPr>
      </w:pPr>
    </w:p>
    <w:p w14:paraId="16AD57E7" w14:textId="77777777" w:rsidR="007F70EB" w:rsidRPr="00B33B13" w:rsidRDefault="007F70EB" w:rsidP="007F70EB">
      <w:pPr>
        <w:pStyle w:val="Zkladntextodsazen"/>
        <w:rPr>
          <w:b w:val="0"/>
          <w:i/>
          <w:iCs/>
          <w:szCs w:val="22"/>
        </w:rPr>
      </w:pPr>
      <w:r w:rsidRPr="00B33B13">
        <w:rPr>
          <w:b w:val="0"/>
          <w:i/>
          <w:iCs/>
          <w:szCs w:val="22"/>
        </w:rPr>
        <w:t>Kombinace butorfanolu a romifidinu:</w:t>
      </w:r>
    </w:p>
    <w:p w14:paraId="1311EC8C" w14:textId="77777777" w:rsidR="007F70EB" w:rsidRPr="005C23D6" w:rsidRDefault="007F70EB" w:rsidP="007F70EB">
      <w:pPr>
        <w:pStyle w:val="Zkladntextodsazen"/>
        <w:rPr>
          <w:b w:val="0"/>
          <w:szCs w:val="22"/>
        </w:rPr>
      </w:pPr>
      <w:r w:rsidRPr="005C23D6">
        <w:rPr>
          <w:b w:val="0"/>
          <w:szCs w:val="22"/>
        </w:rPr>
        <w:t>Nepoužívat během posledního měsíce březosti.</w:t>
      </w:r>
    </w:p>
    <w:p w14:paraId="54C2FA7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5C23D6" w:rsidRDefault="00C605FD" w:rsidP="00B13B6D">
      <w:pPr>
        <w:pStyle w:val="Style1"/>
      </w:pPr>
      <w:r w:rsidRPr="005C23D6">
        <w:t>3.4</w:t>
      </w:r>
      <w:r w:rsidRPr="005C23D6">
        <w:tab/>
        <w:t>Zvláštní upozornění</w:t>
      </w:r>
    </w:p>
    <w:p w14:paraId="0622A062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416CF3" w14:textId="6273F52E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Butorfanol je určen k použití v případech, kdy je zapotřebí krátké trvání analgezie (kůň, pes) nebo krátké až střední trvání analgezie (kočka) (viz bod </w:t>
      </w:r>
      <w:r w:rsidR="005E3658">
        <w:rPr>
          <w:szCs w:val="22"/>
        </w:rPr>
        <w:t>4</w:t>
      </w:r>
      <w:r w:rsidRPr="005C23D6">
        <w:rPr>
          <w:szCs w:val="22"/>
        </w:rPr>
        <w:t>.</w:t>
      </w:r>
      <w:r w:rsidR="005E3658">
        <w:rPr>
          <w:szCs w:val="22"/>
        </w:rPr>
        <w:t>2</w:t>
      </w:r>
      <w:r w:rsidRPr="005C23D6">
        <w:rPr>
          <w:szCs w:val="22"/>
        </w:rPr>
        <w:t xml:space="preserve">). V případech, kdy se požaduje delší trvání analgezie, je nutné použít jinou léčivou látku. </w:t>
      </w:r>
      <w:r w:rsidRPr="005C23D6">
        <w:rPr>
          <w:color w:val="000000"/>
          <w:szCs w:val="22"/>
        </w:rPr>
        <w:t xml:space="preserve">U koček při samostatném použití butorfanolu nedochází k výrazné </w:t>
      </w:r>
      <w:proofErr w:type="spellStart"/>
      <w:r w:rsidRPr="005C23D6">
        <w:rPr>
          <w:color w:val="000000"/>
          <w:szCs w:val="22"/>
        </w:rPr>
        <w:t>sedaci</w:t>
      </w:r>
      <w:proofErr w:type="spellEnd"/>
      <w:r w:rsidRPr="005C23D6">
        <w:rPr>
          <w:color w:val="000000"/>
          <w:szCs w:val="22"/>
        </w:rPr>
        <w:t>.</w:t>
      </w:r>
    </w:p>
    <w:p w14:paraId="5BFD6F08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U koček může být individuální odezva na butorfanol proměnlivá. Při absenci adekvátní odezvy na analgetikum je nutné použít jiné analgetikum. </w:t>
      </w:r>
    </w:p>
    <w:p w14:paraId="24996E0F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Zvýšení dávky u koček nezvyšuje intenzitu ani neprodlužuje dobu trvání požadovaných účinků.</w:t>
      </w:r>
    </w:p>
    <w:p w14:paraId="7D798E15" w14:textId="77777777" w:rsidR="00E86CEE" w:rsidRPr="005C23D6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5C23D6" w:rsidRDefault="00C605FD" w:rsidP="00B13B6D">
      <w:pPr>
        <w:pStyle w:val="Style1"/>
      </w:pPr>
      <w:r w:rsidRPr="005C23D6">
        <w:t>3.5</w:t>
      </w:r>
      <w:r w:rsidRPr="005C23D6">
        <w:tab/>
        <w:t>Zvláštní opatření pro použití</w:t>
      </w:r>
    </w:p>
    <w:p w14:paraId="0B94D7B2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5C23D6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C23D6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9EE57C" w14:textId="77777777" w:rsidR="007F70EB" w:rsidRPr="00B33B13" w:rsidRDefault="007F70EB" w:rsidP="007F70EB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B33B13">
        <w:rPr>
          <w:i/>
          <w:iCs/>
          <w:szCs w:val="22"/>
        </w:rPr>
        <w:t>Všechny cílové druhy zvířat</w:t>
      </w:r>
    </w:p>
    <w:p w14:paraId="7AD69445" w14:textId="1591C7CC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Vzhledem ke svým </w:t>
      </w:r>
      <w:proofErr w:type="spellStart"/>
      <w:r w:rsidR="007539D5">
        <w:rPr>
          <w:szCs w:val="22"/>
        </w:rPr>
        <w:t>antitusickým</w:t>
      </w:r>
      <w:r w:rsidRPr="005C23D6">
        <w:rPr>
          <w:szCs w:val="22"/>
        </w:rPr>
        <w:t>vlastnostem</w:t>
      </w:r>
      <w:proofErr w:type="spellEnd"/>
      <w:r w:rsidRPr="005C23D6">
        <w:rPr>
          <w:szCs w:val="22"/>
        </w:rPr>
        <w:t xml:space="preserve"> může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vést k hromadění hlenu v dýchacím traktu. Proto by se butorfanol měl používat u zvířat s nemocemi dýchacího systému spojenými se zvýšenou produkcí hlenu pouze na základě zvážení poměru terapeutického prospěchu a rizika příslušným veterinárním lékařem.</w:t>
      </w:r>
    </w:p>
    <w:p w14:paraId="15030D2F" w14:textId="6792190C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Před použitím </w:t>
      </w:r>
      <w:r w:rsidR="005E3658">
        <w:rPr>
          <w:szCs w:val="22"/>
        </w:rPr>
        <w:t xml:space="preserve">veterinárního léčivého </w:t>
      </w:r>
      <w:r w:rsidRPr="005C23D6">
        <w:rPr>
          <w:szCs w:val="22"/>
        </w:rPr>
        <w:t xml:space="preserve">přípravku v kombinaci s agonisty α2-adrenoreceptorů je nutné provést běžnou auskultaci srdce a zvážit souběžné použití anticholinergických léčiv, např. atropinu. </w:t>
      </w:r>
    </w:p>
    <w:p w14:paraId="311D9021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Kombinace butorfanolu a agonistů α2-adrenoreceptorů je nutno používat opatrně u zvířat s mírnou až středně závažnou dysfunkcí jater nebo ledvin.</w:t>
      </w:r>
    </w:p>
    <w:p w14:paraId="562F0379" w14:textId="14AA87AC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Při podávání butorfanolu zvířatům léčeným současně jinými sedativy působícími na centrální nervový systém je nutná opatrnost (viz bod </w:t>
      </w:r>
      <w:r w:rsidR="005E3658">
        <w:rPr>
          <w:szCs w:val="22"/>
        </w:rPr>
        <w:t>3</w:t>
      </w:r>
      <w:r w:rsidRPr="005C23D6">
        <w:rPr>
          <w:szCs w:val="22"/>
        </w:rPr>
        <w:t xml:space="preserve">.8). </w:t>
      </w:r>
    </w:p>
    <w:p w14:paraId="64A52FB7" w14:textId="71586085" w:rsidR="007F70EB" w:rsidRPr="005C23D6" w:rsidRDefault="005E3658" w:rsidP="007F70E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Nebyla stanovena b</w:t>
      </w:r>
      <w:r w:rsidR="007F70EB" w:rsidRPr="005C23D6">
        <w:rPr>
          <w:szCs w:val="22"/>
        </w:rPr>
        <w:t xml:space="preserve">ezpečnost </w:t>
      </w:r>
      <w:r>
        <w:rPr>
          <w:szCs w:val="22"/>
        </w:rPr>
        <w:t xml:space="preserve">veterinárního léčivého </w:t>
      </w:r>
      <w:r w:rsidR="007F70EB" w:rsidRPr="005C23D6">
        <w:rPr>
          <w:szCs w:val="22"/>
        </w:rPr>
        <w:t xml:space="preserve">přípravku pro </w:t>
      </w:r>
      <w:r>
        <w:rPr>
          <w:szCs w:val="22"/>
        </w:rPr>
        <w:t>použití u </w:t>
      </w:r>
      <w:r w:rsidR="007F70EB" w:rsidRPr="005C23D6">
        <w:rPr>
          <w:szCs w:val="22"/>
        </w:rPr>
        <w:t xml:space="preserve">štěňat, koťat a hříbat, a proto se smí přípravek u těchto zvířat používat </w:t>
      </w:r>
      <w:r>
        <w:rPr>
          <w:szCs w:val="22"/>
        </w:rPr>
        <w:t>pouze</w:t>
      </w:r>
      <w:r w:rsidRPr="005C23D6">
        <w:rPr>
          <w:szCs w:val="22"/>
        </w:rPr>
        <w:t xml:space="preserve"> </w:t>
      </w:r>
      <w:r>
        <w:rPr>
          <w:szCs w:val="22"/>
        </w:rPr>
        <w:t>po</w:t>
      </w:r>
      <w:r w:rsidR="007F70EB" w:rsidRPr="005C23D6">
        <w:rPr>
          <w:szCs w:val="22"/>
        </w:rPr>
        <w:t xml:space="preserve"> zvážení terapeutického prospěchu a rizika příslušným veterinárním lékařem.</w:t>
      </w:r>
    </w:p>
    <w:p w14:paraId="30247BDD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</w:p>
    <w:p w14:paraId="02B094D9" w14:textId="57DF4D56" w:rsidR="007F70EB" w:rsidRPr="00B33B13" w:rsidRDefault="007F70EB" w:rsidP="007F70EB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r w:rsidRPr="00B33B13">
        <w:rPr>
          <w:i/>
          <w:iCs/>
          <w:szCs w:val="22"/>
        </w:rPr>
        <w:t>Pes</w:t>
      </w:r>
      <w:r w:rsidR="000F4741" w:rsidRPr="00B33B13">
        <w:rPr>
          <w:i/>
          <w:iCs/>
          <w:szCs w:val="22"/>
        </w:rPr>
        <w:t>:</w:t>
      </w:r>
    </w:p>
    <w:p w14:paraId="4B4AE7DA" w14:textId="77777777" w:rsidR="007F70EB" w:rsidRPr="005C23D6" w:rsidRDefault="007F70EB" w:rsidP="007F70E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80701548"/>
      <w:r w:rsidRPr="005C23D6">
        <w:rPr>
          <w:szCs w:val="22"/>
        </w:rPr>
        <w:t>Intravenózní podání je nutno provádět pomalu, ne jako bolus.</w:t>
      </w:r>
    </w:p>
    <w:bookmarkEnd w:id="6"/>
    <w:p w14:paraId="13AD77AF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U psů s mutací genu MDR1 snižte dávku o 25</w:t>
      </w:r>
      <w:r w:rsidRPr="005C23D6">
        <w:rPr>
          <w:szCs w:val="22"/>
        </w:rPr>
        <w:noBreakHyphen/>
        <w:t>50 %.</w:t>
      </w:r>
    </w:p>
    <w:p w14:paraId="00D524C2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</w:p>
    <w:p w14:paraId="0BEFD217" w14:textId="22F34E38" w:rsidR="007F70EB" w:rsidRPr="00B33B13" w:rsidRDefault="007F70EB" w:rsidP="007F70EB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B33B13">
        <w:rPr>
          <w:i/>
          <w:iCs/>
          <w:szCs w:val="22"/>
        </w:rPr>
        <w:t>Kočka</w:t>
      </w:r>
      <w:r w:rsidR="000F4741">
        <w:rPr>
          <w:i/>
          <w:iCs/>
          <w:szCs w:val="22"/>
        </w:rPr>
        <w:t>:</w:t>
      </w:r>
    </w:p>
    <w:p w14:paraId="0A5B64E5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bookmarkStart w:id="7" w:name="_Hlk80701607"/>
      <w:r w:rsidRPr="005C23D6">
        <w:rPr>
          <w:szCs w:val="22"/>
        </w:rPr>
        <w:t xml:space="preserve">Doporučuje se používat buď inzulinové stříkačky nebo 1 ml kalibrované stříkačky. </w:t>
      </w:r>
    </w:p>
    <w:bookmarkEnd w:id="7"/>
    <w:p w14:paraId="6F3A6E6E" w14:textId="77777777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</w:p>
    <w:p w14:paraId="2FAB743A" w14:textId="72A591ED" w:rsidR="007F70EB" w:rsidRPr="00B33B13" w:rsidRDefault="007F70EB" w:rsidP="007F70EB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B33B13">
        <w:rPr>
          <w:i/>
          <w:iCs/>
          <w:szCs w:val="22"/>
        </w:rPr>
        <w:t>Kůň</w:t>
      </w:r>
      <w:r w:rsidR="000F4741">
        <w:rPr>
          <w:i/>
          <w:iCs/>
          <w:szCs w:val="22"/>
        </w:rPr>
        <w:t>:</w:t>
      </w:r>
    </w:p>
    <w:p w14:paraId="5F96937C" w14:textId="454C7371" w:rsidR="007F70EB" w:rsidRPr="005C23D6" w:rsidRDefault="007F70EB" w:rsidP="007F70EB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Použití </w:t>
      </w:r>
      <w:r w:rsidR="005E3658">
        <w:rPr>
          <w:szCs w:val="22"/>
        </w:rPr>
        <w:t xml:space="preserve">veterinárního léčivého </w:t>
      </w:r>
      <w:r w:rsidRPr="005C23D6">
        <w:rPr>
          <w:szCs w:val="22"/>
        </w:rPr>
        <w:t>přípravku v doporučené dávce může vést k přechodné ataxii nebo podráždění. Aby tedy při léčbě koní nedošlo ke zranění pacienta a osob, je nutné pečlivě vybrat místo pro léčbu.</w:t>
      </w:r>
    </w:p>
    <w:p w14:paraId="117F609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5C23D6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C23D6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53D9A" w14:textId="77777777" w:rsidR="007F70EB" w:rsidRPr="005C23D6" w:rsidRDefault="007F70EB" w:rsidP="007F70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Butorfanol má opioidní účinky. </w:t>
      </w:r>
    </w:p>
    <w:p w14:paraId="63D8E721" w14:textId="34C8CBFF" w:rsidR="007F70EB" w:rsidRPr="005C23D6" w:rsidRDefault="007F70EB" w:rsidP="007F70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Nejčastějšími nežádoucími účinky butorfanolu u lidí jsou ospalost, pocení, nevolnost, malátnost a závrať a tyto účinky mohou nastat po náhodném sebepoškození injekčně </w:t>
      </w:r>
      <w:r w:rsidR="00F414BB">
        <w:rPr>
          <w:szCs w:val="22"/>
        </w:rPr>
        <w:t>podaným</w:t>
      </w:r>
      <w:r w:rsidR="00F414BB" w:rsidRPr="005C23D6">
        <w:rPr>
          <w:szCs w:val="22"/>
        </w:rPr>
        <w:t xml:space="preserve"> </w:t>
      </w:r>
      <w:r w:rsidRPr="005C23D6">
        <w:rPr>
          <w:szCs w:val="22"/>
        </w:rPr>
        <w:t xml:space="preserve">přípravkem. Zabraňte náhodnému </w:t>
      </w:r>
      <w:proofErr w:type="spellStart"/>
      <w:r w:rsidRPr="005C23D6">
        <w:rPr>
          <w:szCs w:val="22"/>
        </w:rPr>
        <w:t>samopodání</w:t>
      </w:r>
      <w:proofErr w:type="spellEnd"/>
      <w:r w:rsidRPr="005C23D6">
        <w:rPr>
          <w:szCs w:val="22"/>
        </w:rPr>
        <w:t xml:space="preserve"> injekce. V případě náhodného sebepoškození injekčně </w:t>
      </w:r>
      <w:r w:rsidR="005E3658">
        <w:rPr>
          <w:szCs w:val="22"/>
        </w:rPr>
        <w:t>podaným</w:t>
      </w:r>
      <w:r w:rsidR="005E3658" w:rsidRPr="005C23D6">
        <w:rPr>
          <w:szCs w:val="22"/>
        </w:rPr>
        <w:t xml:space="preserve"> </w:t>
      </w:r>
      <w:r w:rsidRPr="005C23D6">
        <w:rPr>
          <w:szCs w:val="22"/>
        </w:rPr>
        <w:t>přípravkem vyhledejte ihned lékařskou pomoc a ukažte příbalovou informaci nebo etiketu praktickému lékaři. Neřiďte. Jako antidotum lze použít antagonistu opioidu (např. naloxon).</w:t>
      </w:r>
    </w:p>
    <w:p w14:paraId="31689038" w14:textId="77777777" w:rsidR="000F4741" w:rsidRDefault="000F4741" w:rsidP="007F70E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27C0F3" w14:textId="345B6619" w:rsidR="007F70EB" w:rsidRPr="005C23D6" w:rsidRDefault="007F70EB" w:rsidP="007F70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Zasaženou kůži a oči ihned omyjte velkým množstvím vody.</w:t>
      </w:r>
    </w:p>
    <w:p w14:paraId="7D364D1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5C23D6" w:rsidRDefault="0091648F" w:rsidP="00CE222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C23D6">
        <w:rPr>
          <w:szCs w:val="22"/>
          <w:u w:val="single"/>
        </w:rPr>
        <w:t>Zvláštní opatření pro ochranu životního prostředí:</w:t>
      </w:r>
    </w:p>
    <w:p w14:paraId="79790C05" w14:textId="77777777" w:rsidR="0091648F" w:rsidRPr="005C23D6" w:rsidRDefault="0091648F" w:rsidP="00CE222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CF26F6" w14:textId="77777777" w:rsidR="0091648F" w:rsidRPr="005C23D6" w:rsidRDefault="0091648F" w:rsidP="0091648F">
      <w:pPr>
        <w:tabs>
          <w:tab w:val="clear" w:pos="567"/>
        </w:tabs>
        <w:spacing w:line="240" w:lineRule="auto"/>
      </w:pPr>
      <w:r w:rsidRPr="005C23D6">
        <w:t>Neuplatňuje se.</w:t>
      </w:r>
    </w:p>
    <w:p w14:paraId="26759B32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5C23D6" w:rsidRDefault="00C605FD" w:rsidP="00B13B6D">
      <w:pPr>
        <w:pStyle w:val="Style1"/>
      </w:pPr>
      <w:r w:rsidRPr="005C23D6">
        <w:t>3.6</w:t>
      </w:r>
      <w:r w:rsidRPr="005C23D6">
        <w:tab/>
        <w:t>Nežádoucí účinky</w:t>
      </w:r>
    </w:p>
    <w:p w14:paraId="10F3D673" w14:textId="77777777" w:rsidR="00295140" w:rsidRPr="005C23D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7779C2" w14:textId="77777777" w:rsidR="007032A3" w:rsidRPr="006414D3" w:rsidRDefault="007032A3" w:rsidP="007032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Koně:</w:t>
      </w:r>
    </w:p>
    <w:p w14:paraId="1E86E570" w14:textId="77777777" w:rsidR="007032A3" w:rsidRPr="006414D3" w:rsidRDefault="007032A3" w:rsidP="007032A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32A3" w14:paraId="28481E20" w14:textId="77777777" w:rsidTr="00FD12E2">
        <w:tc>
          <w:tcPr>
            <w:tcW w:w="1957" w:type="pct"/>
          </w:tcPr>
          <w:p w14:paraId="381CCAFC" w14:textId="77777777" w:rsidR="007032A3" w:rsidRDefault="007032A3" w:rsidP="00FD12E2">
            <w:pPr>
              <w:spacing w:before="60" w:after="60"/>
            </w:pPr>
            <w:r>
              <w:rPr>
                <w:szCs w:val="22"/>
              </w:rPr>
              <w:t xml:space="preserve">Velmi časté </w:t>
            </w:r>
          </w:p>
          <w:p w14:paraId="43A40275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(&gt; 1 zvíře / 10 ošetřených zvířat):</w:t>
            </w:r>
          </w:p>
        </w:tc>
        <w:tc>
          <w:tcPr>
            <w:tcW w:w="3043" w:type="pct"/>
          </w:tcPr>
          <w:p w14:paraId="05FF2557" w14:textId="77777777" w:rsidR="007032A3" w:rsidRPr="00EF4807" w:rsidRDefault="007032A3" w:rsidP="00FD12E2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>Sedace</w:t>
            </w:r>
            <w:r>
              <w:rPr>
                <w:iCs/>
                <w:szCs w:val="22"/>
                <w:vertAlign w:val="superscript"/>
              </w:rPr>
              <w:t>a</w:t>
            </w:r>
          </w:p>
        </w:tc>
      </w:tr>
      <w:tr w:rsidR="007032A3" w14:paraId="61898F81" w14:textId="77777777" w:rsidTr="00FD12E2">
        <w:tc>
          <w:tcPr>
            <w:tcW w:w="1957" w:type="pct"/>
          </w:tcPr>
          <w:p w14:paraId="71B868D8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4A9B21A7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3C66CED2" w14:textId="683CA1F9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Bolest v místě </w:t>
            </w:r>
            <w:r w:rsidR="00577040">
              <w:rPr>
                <w:iCs/>
                <w:szCs w:val="22"/>
              </w:rPr>
              <w:t xml:space="preserve">injekčního </w:t>
            </w:r>
            <w:proofErr w:type="spellStart"/>
            <w:r w:rsidR="00577040"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</w:p>
          <w:p w14:paraId="4F192F3F" w14:textId="77777777" w:rsidR="007032A3" w:rsidRPr="00D41616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Ataxie</w:t>
            </w:r>
            <w:r>
              <w:rPr>
                <w:iCs/>
                <w:szCs w:val="22"/>
                <w:vertAlign w:val="superscript"/>
              </w:rPr>
              <w:t>c</w:t>
            </w:r>
            <w:r>
              <w:rPr>
                <w:iCs/>
                <w:szCs w:val="22"/>
              </w:rPr>
              <w:t>, zvýšená motorická aktivita</w:t>
            </w:r>
            <w:r>
              <w:rPr>
                <w:iCs/>
                <w:szCs w:val="22"/>
                <w:vertAlign w:val="superscript"/>
              </w:rPr>
              <w:t>d</w:t>
            </w:r>
            <w:r>
              <w:rPr>
                <w:iCs/>
                <w:szCs w:val="22"/>
              </w:rPr>
              <w:t>, chvění</w:t>
            </w:r>
          </w:p>
          <w:p w14:paraId="14365F61" w14:textId="3E858CD0" w:rsidR="007032A3" w:rsidRDefault="007032A3" w:rsidP="00FD12E2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>Neklid, dráždivé lokomoční účinky (např.</w:t>
            </w:r>
            <w:r w:rsidR="008804DA">
              <w:rPr>
                <w:iCs/>
                <w:szCs w:val="22"/>
              </w:rPr>
              <w:t xml:space="preserve"> </w:t>
            </w:r>
            <w:proofErr w:type="gramStart"/>
            <w:r>
              <w:rPr>
                <w:iCs/>
                <w:szCs w:val="22"/>
              </w:rPr>
              <w:t>přecházení)</w:t>
            </w:r>
            <w:r>
              <w:rPr>
                <w:iCs/>
                <w:szCs w:val="22"/>
                <w:vertAlign w:val="superscript"/>
              </w:rPr>
              <w:t>e</w:t>
            </w:r>
            <w:proofErr w:type="gramEnd"/>
          </w:p>
          <w:p w14:paraId="04F5B767" w14:textId="77777777" w:rsidR="007032A3" w:rsidRPr="006414D3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Snížení gastrointestinální motility</w:t>
            </w:r>
            <w:r>
              <w:rPr>
                <w:iCs/>
                <w:szCs w:val="22"/>
                <w:vertAlign w:val="superscript"/>
              </w:rPr>
              <w:t>f</w:t>
            </w:r>
          </w:p>
        </w:tc>
      </w:tr>
      <w:tr w:rsidR="007032A3" w14:paraId="51F189DD" w14:textId="77777777" w:rsidTr="00FD12E2">
        <w:tc>
          <w:tcPr>
            <w:tcW w:w="1957" w:type="pct"/>
          </w:tcPr>
          <w:p w14:paraId="109E8517" w14:textId="654F2BE3" w:rsidR="00D02D40" w:rsidRDefault="00D02D40" w:rsidP="00D02D40">
            <w:pPr>
              <w:spacing w:before="60" w:after="60"/>
            </w:pPr>
            <w:r>
              <w:t xml:space="preserve">Neznámá četnost </w:t>
            </w:r>
          </w:p>
          <w:p w14:paraId="167F2BAC" w14:textId="2C646EF7" w:rsidR="00D02D40" w:rsidRPr="006414D3" w:rsidRDefault="00D02D40" w:rsidP="00D02D40">
            <w:pPr>
              <w:spacing w:before="60" w:after="60"/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27BB1238" w14:textId="77777777" w:rsidR="007032A3" w:rsidRDefault="007032A3" w:rsidP="00FD12E2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>Srdeční deprese</w:t>
            </w:r>
            <w:r>
              <w:rPr>
                <w:iCs/>
                <w:szCs w:val="22"/>
                <w:vertAlign w:val="superscript"/>
              </w:rPr>
              <w:t>g</w:t>
            </w:r>
          </w:p>
          <w:p w14:paraId="4EB6B2AE" w14:textId="77777777" w:rsidR="007032A3" w:rsidRPr="006414D3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Respirační deprese</w:t>
            </w:r>
            <w:r>
              <w:rPr>
                <w:iCs/>
                <w:szCs w:val="22"/>
                <w:vertAlign w:val="superscript"/>
              </w:rPr>
              <w:t>g</w:t>
            </w:r>
          </w:p>
        </w:tc>
      </w:tr>
    </w:tbl>
    <w:p w14:paraId="3A42B628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Mírná sedace se může objevit přibližně u 15 % koní po podání butorfanolu samostatně.</w:t>
      </w:r>
    </w:p>
    <w:p w14:paraId="2C52F253" w14:textId="2B439AE8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Při intramuskulární</w:t>
      </w:r>
      <w:r w:rsidR="00577040">
        <w:rPr>
          <w:szCs w:val="22"/>
        </w:rPr>
        <w:t>m podání</w:t>
      </w:r>
      <w:r>
        <w:rPr>
          <w:szCs w:val="22"/>
        </w:rPr>
        <w:t>.</w:t>
      </w:r>
    </w:p>
    <w:p w14:paraId="0527332C" w14:textId="77777777" w:rsidR="007032A3" w:rsidRDefault="007032A3" w:rsidP="007032A3">
      <w:pPr>
        <w:spacing w:before="60"/>
        <w:rPr>
          <w:color w:val="000000" w:themeColor="text1"/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Mírná ataxie může trvat 3 až 10 minut, ale v některých případech může ataxie trvat i 1 až 2 hodiny. Mírná až silná ataxie může nastat v kombinaci s detomidinem, ale není pravděpodobné, že by kůň zkolaboval. Je nutné dodržovat běžná preventivní opatření, aby nedošlo ke zranění </w:t>
      </w:r>
      <w:r>
        <w:rPr>
          <w:color w:val="000000"/>
          <w:szCs w:val="22"/>
        </w:rPr>
        <w:t>(viz bod 3.5).</w:t>
      </w:r>
    </w:p>
    <w:p w14:paraId="4BE2CA5E" w14:textId="77777777" w:rsidR="007032A3" w:rsidRPr="002B2E87" w:rsidRDefault="007032A3" w:rsidP="007032A3">
      <w:pPr>
        <w:spacing w:before="60"/>
        <w:rPr>
          <w:szCs w:val="22"/>
        </w:rPr>
      </w:pPr>
      <w:r>
        <w:rPr>
          <w:color w:val="000000"/>
          <w:szCs w:val="22"/>
          <w:vertAlign w:val="superscript"/>
        </w:rPr>
        <w:t>d</w:t>
      </w:r>
      <w:r>
        <w:rPr>
          <w:color w:val="000000"/>
          <w:szCs w:val="22"/>
        </w:rPr>
        <w:t xml:space="preserve"> V některých případech může trvat 1 až 2 hodiny</w:t>
      </w:r>
    </w:p>
    <w:p w14:paraId="567A5881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Po bolusovém i.v. podání při maximální doporučené dávce (0,1 mg/kg živé hmotnosti) u klinicky zdravých koní.</w:t>
      </w:r>
    </w:p>
    <w:p w14:paraId="2EA23D55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U zdravých koní, ačkoli nedochází ke zkrácení času průchodu gastrointestinálním traktem. Tyto účinky závisí na dávce a jsou obecně mírné a přechodné.</w:t>
      </w:r>
    </w:p>
    <w:p w14:paraId="2117B202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lastRenderedPageBreak/>
        <w:t>g</w:t>
      </w:r>
      <w:r>
        <w:rPr>
          <w:szCs w:val="22"/>
        </w:rPr>
        <w:t xml:space="preserve"> Při použití v kombinaci s agonisty alfa2-adrenoreceptorů může být deprese kardiopulmonálního systému ve vzácných případech smrtelná.</w:t>
      </w:r>
    </w:p>
    <w:p w14:paraId="2514BF2F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p w14:paraId="27F73A5A" w14:textId="77777777" w:rsidR="007032A3" w:rsidRPr="006414D3" w:rsidRDefault="007032A3" w:rsidP="007032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52866516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32A3" w14:paraId="4D57E664" w14:textId="77777777" w:rsidTr="00FD12E2">
        <w:tc>
          <w:tcPr>
            <w:tcW w:w="1957" w:type="pct"/>
          </w:tcPr>
          <w:p w14:paraId="08E0E765" w14:textId="77777777" w:rsidR="007032A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3719BE78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43" w:type="pct"/>
          </w:tcPr>
          <w:p w14:paraId="71ACE4F2" w14:textId="77777777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Ataxie</w:t>
            </w:r>
            <w:r>
              <w:rPr>
                <w:iCs/>
                <w:szCs w:val="22"/>
                <w:vertAlign w:val="superscript"/>
              </w:rPr>
              <w:t>a</w:t>
            </w:r>
          </w:p>
          <w:p w14:paraId="10D81293" w14:textId="77777777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</w:p>
          <w:p w14:paraId="4C4D5237" w14:textId="77777777" w:rsidR="007032A3" w:rsidRPr="006414D3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Průjem</w:t>
            </w:r>
            <w:r>
              <w:rPr>
                <w:iCs/>
                <w:szCs w:val="22"/>
                <w:vertAlign w:val="superscript"/>
              </w:rPr>
              <w:t>a</w:t>
            </w:r>
          </w:p>
        </w:tc>
      </w:tr>
      <w:tr w:rsidR="007032A3" w14:paraId="1EEE7F2D" w14:textId="77777777" w:rsidTr="00FD12E2">
        <w:tc>
          <w:tcPr>
            <w:tcW w:w="1957" w:type="pct"/>
          </w:tcPr>
          <w:p w14:paraId="402E5F13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4E022016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4295D112" w14:textId="77777777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Sedace</w:t>
            </w:r>
          </w:p>
          <w:p w14:paraId="08827AA8" w14:textId="77777777" w:rsidR="007032A3" w:rsidRPr="002B2E87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Respirační deprese</w:t>
            </w:r>
            <w:r>
              <w:rPr>
                <w:iCs/>
                <w:szCs w:val="22"/>
                <w:vertAlign w:val="superscript"/>
              </w:rPr>
              <w:t>b</w:t>
            </w:r>
            <w:r>
              <w:rPr>
                <w:iCs/>
                <w:szCs w:val="22"/>
              </w:rPr>
              <w:t xml:space="preserve"> (např. snížení dechové frekvence)</w:t>
            </w:r>
          </w:p>
          <w:p w14:paraId="10A82DB7" w14:textId="77777777" w:rsidR="007032A3" w:rsidRPr="002B2E87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Srdeční deprese</w:t>
            </w:r>
            <w:r>
              <w:rPr>
                <w:iCs/>
                <w:szCs w:val="22"/>
                <w:vertAlign w:val="superscript"/>
              </w:rPr>
              <w:t>b</w:t>
            </w:r>
            <w:r>
              <w:rPr>
                <w:iCs/>
                <w:szCs w:val="22"/>
              </w:rPr>
              <w:t xml:space="preserve"> (např. bradykardie</w:t>
            </w:r>
            <w:r>
              <w:rPr>
                <w:iCs/>
                <w:szCs w:val="22"/>
                <w:vertAlign w:val="superscript"/>
              </w:rPr>
              <w:t>c</w:t>
            </w:r>
            <w:r>
              <w:rPr>
                <w:iCs/>
                <w:szCs w:val="22"/>
              </w:rPr>
              <w:t>, pokles krevního tlaku</w:t>
            </w:r>
            <w:r>
              <w:rPr>
                <w:iCs/>
                <w:szCs w:val="22"/>
                <w:vertAlign w:val="superscript"/>
              </w:rPr>
              <w:t>d</w:t>
            </w:r>
            <w:r>
              <w:rPr>
                <w:iCs/>
                <w:szCs w:val="22"/>
              </w:rPr>
              <w:t>).</w:t>
            </w:r>
          </w:p>
        </w:tc>
      </w:tr>
      <w:tr w:rsidR="007032A3" w14:paraId="05A66D01" w14:textId="77777777" w:rsidTr="00FD12E2">
        <w:tc>
          <w:tcPr>
            <w:tcW w:w="1957" w:type="pct"/>
          </w:tcPr>
          <w:p w14:paraId="7D27989A" w14:textId="2BDA6E11" w:rsidR="00D02D40" w:rsidRDefault="00D02D40" w:rsidP="00D02D40">
            <w:pPr>
              <w:spacing w:before="60" w:after="60"/>
            </w:pPr>
            <w:r>
              <w:t xml:space="preserve">Neznámá četnost </w:t>
            </w:r>
          </w:p>
          <w:p w14:paraId="76FDBB29" w14:textId="73165882" w:rsidR="00D02D40" w:rsidRPr="006414D3" w:rsidRDefault="00D02D40" w:rsidP="00D02D40">
            <w:pPr>
              <w:spacing w:before="60" w:after="60"/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7F020136" w14:textId="53474A8E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Bolest v místě </w:t>
            </w:r>
            <w:r w:rsidR="00577040">
              <w:rPr>
                <w:iCs/>
                <w:szCs w:val="22"/>
              </w:rPr>
              <w:t xml:space="preserve">injekčního </w:t>
            </w:r>
            <w:proofErr w:type="spellStart"/>
            <w:r w:rsidR="00577040"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e</w:t>
            </w:r>
            <w:proofErr w:type="spellEnd"/>
          </w:p>
          <w:p w14:paraId="0AF5756C" w14:textId="77777777" w:rsidR="007032A3" w:rsidRPr="006414D3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Snížení gastrointestinální motility</w:t>
            </w:r>
          </w:p>
        </w:tc>
      </w:tr>
    </w:tbl>
    <w:p w14:paraId="5CB07EC0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Přechodné.</w:t>
      </w:r>
    </w:p>
    <w:p w14:paraId="79FB7F36" w14:textId="77777777" w:rsidR="007032A3" w:rsidRDefault="007032A3" w:rsidP="007032A3">
      <w:pPr>
        <w:spacing w:before="60"/>
        <w:rPr>
          <w:sz w:val="24"/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Stupeň deprese závisí na dávce. Jestliže se vyskytne respirační deprese, lze použít naloxon jako antidotum. Mírná až značná kardiopulmonální deprese může nastat při rychlém intravenózním podání butorfanolu</w:t>
      </w:r>
      <w:r>
        <w:rPr>
          <w:sz w:val="24"/>
          <w:szCs w:val="24"/>
        </w:rPr>
        <w:t xml:space="preserve"> </w:t>
      </w:r>
    </w:p>
    <w:p w14:paraId="404C374C" w14:textId="77777777" w:rsidR="007032A3" w:rsidRDefault="007032A3" w:rsidP="007032A3">
      <w:pPr>
        <w:spacing w:before="60"/>
        <w:rPr>
          <w:szCs w:val="22"/>
        </w:rPr>
      </w:pPr>
      <w:r>
        <w:rPr>
          <w:sz w:val="24"/>
          <w:szCs w:val="24"/>
          <w:vertAlign w:val="superscript"/>
        </w:rPr>
        <w:t>c</w:t>
      </w:r>
      <w:r>
        <w:rPr>
          <w:sz w:val="24"/>
          <w:szCs w:val="24"/>
        </w:rPr>
        <w:t xml:space="preserve"> </w:t>
      </w:r>
      <w:r>
        <w:rPr>
          <w:szCs w:val="22"/>
        </w:rPr>
        <w:t>Při použití butorfanolu jako preanestetika chrání srdce před případnou bradykardií vyvolanou narkotikem podání anticholinergika, např. atropinu.</w:t>
      </w:r>
    </w:p>
    <w:p w14:paraId="46F2420A" w14:textId="77777777" w:rsidR="007032A3" w:rsidRPr="002B2E87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Pokles diastolického tlaku (viz bod 3.5).</w:t>
      </w:r>
    </w:p>
    <w:p w14:paraId="56DC54E5" w14:textId="71040346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Při intramuskulární</w:t>
      </w:r>
      <w:r w:rsidR="00577040">
        <w:rPr>
          <w:szCs w:val="22"/>
        </w:rPr>
        <w:t>m podání</w:t>
      </w:r>
      <w:r>
        <w:rPr>
          <w:szCs w:val="22"/>
        </w:rPr>
        <w:t>.</w:t>
      </w:r>
    </w:p>
    <w:p w14:paraId="5DB1B82C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p w14:paraId="05F347CE" w14:textId="77777777" w:rsidR="007032A3" w:rsidRPr="006414D3" w:rsidRDefault="007032A3" w:rsidP="007032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Kočky:</w:t>
      </w:r>
    </w:p>
    <w:p w14:paraId="611658D0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32A3" w14:paraId="34861BCB" w14:textId="77777777" w:rsidTr="00FD12E2">
        <w:tc>
          <w:tcPr>
            <w:tcW w:w="1957" w:type="pct"/>
          </w:tcPr>
          <w:p w14:paraId="315A1F7F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69770F3F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1790C200" w14:textId="77777777" w:rsidR="007032A3" w:rsidRDefault="007032A3" w:rsidP="00FD12E2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>Respirační deprese</w:t>
            </w:r>
            <w:r>
              <w:rPr>
                <w:iCs/>
                <w:szCs w:val="22"/>
                <w:vertAlign w:val="superscript"/>
              </w:rPr>
              <w:t>a</w:t>
            </w:r>
          </w:p>
          <w:p w14:paraId="276F32DF" w14:textId="77777777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Mydriáza</w:t>
            </w:r>
          </w:p>
          <w:p w14:paraId="6FFF69AE" w14:textId="77777777" w:rsidR="007032A3" w:rsidRPr="006414D3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Podrážděnost</w:t>
            </w:r>
          </w:p>
        </w:tc>
      </w:tr>
      <w:tr w:rsidR="007032A3" w14:paraId="3D0C3BA1" w14:textId="77777777" w:rsidTr="00FD12E2">
        <w:tc>
          <w:tcPr>
            <w:tcW w:w="1957" w:type="pct"/>
          </w:tcPr>
          <w:p w14:paraId="190E9B2E" w14:textId="5B48E2AC" w:rsidR="00675570" w:rsidRDefault="00D02D40" w:rsidP="00FD12E2">
            <w:pPr>
              <w:spacing w:before="60" w:after="60"/>
            </w:pPr>
            <w:r>
              <w:t xml:space="preserve">Neznámá četnost </w:t>
            </w:r>
          </w:p>
          <w:p w14:paraId="46E3F7BD" w14:textId="77777777" w:rsidR="007032A3" w:rsidRPr="006414D3" w:rsidRDefault="007032A3" w:rsidP="00FD12E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(z dostupných údajů nelze určit)</w:t>
            </w:r>
          </w:p>
        </w:tc>
        <w:tc>
          <w:tcPr>
            <w:tcW w:w="3043" w:type="pct"/>
          </w:tcPr>
          <w:p w14:paraId="32A3E21B" w14:textId="162CD454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Bolest v místě </w:t>
            </w:r>
            <w:r w:rsidR="00577040">
              <w:rPr>
                <w:iCs/>
                <w:szCs w:val="22"/>
              </w:rPr>
              <w:t xml:space="preserve">injekčního </w:t>
            </w:r>
            <w:proofErr w:type="spellStart"/>
            <w:r w:rsidR="00577040"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</w:p>
          <w:p w14:paraId="5425F47B" w14:textId="77777777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Sedace, dezorientace</w:t>
            </w:r>
          </w:p>
          <w:p w14:paraId="4F21083F" w14:textId="77777777" w:rsidR="007032A3" w:rsidRDefault="007032A3" w:rsidP="00FD12E2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Úzkost</w:t>
            </w:r>
          </w:p>
          <w:p w14:paraId="41463280" w14:textId="77777777" w:rsidR="007032A3" w:rsidRPr="006414D3" w:rsidRDefault="007032A3" w:rsidP="00FD12E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Dysforie</w:t>
            </w:r>
          </w:p>
        </w:tc>
      </w:tr>
    </w:tbl>
    <w:p w14:paraId="1958753E" w14:textId="77777777" w:rsidR="007032A3" w:rsidRPr="006A30DD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Jako antidotum lze použít naloxon.</w:t>
      </w:r>
    </w:p>
    <w:p w14:paraId="7196989F" w14:textId="50DA46F3" w:rsidR="007032A3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Při intramuskulární</w:t>
      </w:r>
      <w:r w:rsidR="00577040">
        <w:rPr>
          <w:szCs w:val="22"/>
        </w:rPr>
        <w:t>m podání</w:t>
      </w:r>
      <w:r>
        <w:rPr>
          <w:szCs w:val="22"/>
        </w:rPr>
        <w:t>.</w:t>
      </w:r>
    </w:p>
    <w:p w14:paraId="6D727DCE" w14:textId="77777777" w:rsidR="00715441" w:rsidRPr="006A30DD" w:rsidRDefault="00715441" w:rsidP="007032A3">
      <w:pPr>
        <w:spacing w:before="60"/>
        <w:rPr>
          <w:szCs w:val="22"/>
        </w:rPr>
      </w:pPr>
    </w:p>
    <w:p w14:paraId="0B96A11F" w14:textId="71B3BE80" w:rsidR="00BA5EAA" w:rsidRDefault="0091648F" w:rsidP="00BA5EAA">
      <w:bookmarkStart w:id="8" w:name="_Hlk66891708"/>
      <w:r w:rsidRPr="005C23D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</w:t>
      </w:r>
      <w:r w:rsidR="00BA5EAA">
        <w:t xml:space="preserve"> </w:t>
      </w:r>
      <w:r w:rsidR="00BA5EAA" w:rsidRPr="00B41D57">
        <w:t>Podrobné kontaktní údaje naleznete v</w:t>
      </w:r>
      <w:r w:rsidR="00BA5EAA">
        <w:t> </w:t>
      </w:r>
      <w:r w:rsidR="00BA5EAA" w:rsidRPr="00B41D57">
        <w:t>příbalové informac</w:t>
      </w:r>
      <w:r w:rsidR="00BA5EAA">
        <w:t>i</w:t>
      </w:r>
      <w:r w:rsidR="00BA5EAA" w:rsidRPr="00B41D57">
        <w:t>.</w:t>
      </w:r>
    </w:p>
    <w:p w14:paraId="37DD5E02" w14:textId="2CAFE6E6" w:rsidR="00BA5EAA" w:rsidRDefault="00BA5EAA" w:rsidP="0091648F"/>
    <w:bookmarkEnd w:id="8"/>
    <w:p w14:paraId="772CD533" w14:textId="77777777" w:rsidR="00C114FF" w:rsidRPr="005C23D6" w:rsidRDefault="00C605FD" w:rsidP="00B13B6D">
      <w:pPr>
        <w:pStyle w:val="Style1"/>
      </w:pPr>
      <w:r w:rsidRPr="005C23D6">
        <w:t>3.7</w:t>
      </w:r>
      <w:r w:rsidRPr="005C23D6">
        <w:tab/>
        <w:t>Použití v průběhu březosti, laktace nebo snášky</w:t>
      </w:r>
    </w:p>
    <w:p w14:paraId="0DFBFADE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EC941" w14:textId="69A2105F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Nebyla stanovena bezpečnost veterinárního léčivého přípravku pro použití během březosti a laktace.</w:t>
      </w:r>
    </w:p>
    <w:p w14:paraId="45A1699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4EBAE" w14:textId="563EDBA4" w:rsidR="005E3658" w:rsidRDefault="005E365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 a laktace:</w:t>
      </w:r>
    </w:p>
    <w:p w14:paraId="61C30DF3" w14:textId="4B99421A" w:rsidR="005E3658" w:rsidRDefault="005E3658" w:rsidP="00A9226B">
      <w:pPr>
        <w:tabs>
          <w:tab w:val="clear" w:pos="567"/>
        </w:tabs>
        <w:spacing w:line="240" w:lineRule="auto"/>
      </w:pPr>
      <w:r w:rsidRPr="00B41D57">
        <w:t>Použití není doporučováno během březosti</w:t>
      </w:r>
      <w:r>
        <w:t xml:space="preserve"> a </w:t>
      </w:r>
      <w:r w:rsidRPr="00B41D57">
        <w:t>laktace</w:t>
      </w:r>
      <w:r>
        <w:t>.</w:t>
      </w:r>
    </w:p>
    <w:p w14:paraId="61EEE482" w14:textId="32A80411" w:rsidR="005E3658" w:rsidRDefault="005E3658" w:rsidP="00A9226B">
      <w:pPr>
        <w:tabs>
          <w:tab w:val="clear" w:pos="567"/>
        </w:tabs>
        <w:spacing w:line="240" w:lineRule="auto"/>
      </w:pPr>
      <w:r>
        <w:t>Viz též bod 3.3.</w:t>
      </w:r>
    </w:p>
    <w:p w14:paraId="4F6F1F49" w14:textId="77777777" w:rsidR="005E3658" w:rsidRPr="005E3658" w:rsidRDefault="005E3658" w:rsidP="00A9226B">
      <w:pPr>
        <w:tabs>
          <w:tab w:val="clear" w:pos="567"/>
        </w:tabs>
        <w:spacing w:line="240" w:lineRule="auto"/>
      </w:pPr>
    </w:p>
    <w:p w14:paraId="5C5C1959" w14:textId="77777777" w:rsidR="00C114FF" w:rsidRPr="005C23D6" w:rsidRDefault="00C605FD" w:rsidP="00B13B6D">
      <w:pPr>
        <w:pStyle w:val="Style1"/>
      </w:pPr>
      <w:r w:rsidRPr="005C23D6">
        <w:t>3.8</w:t>
      </w:r>
      <w:r w:rsidRPr="005C23D6">
        <w:tab/>
        <w:t>Interakce s jinými léčivými přípravky a další formy interakce</w:t>
      </w:r>
    </w:p>
    <w:p w14:paraId="54454937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27359D" w14:textId="0290F659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Použití butorfanolu v kombinaci s některými agonisty α2-adrenoreceptorů (romifidin nebo detomidin u koní, medetomidin u psů a koček) může mít synergické účinky vyžadující snížení dávky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(viz bod </w:t>
      </w:r>
      <w:r w:rsidR="0068612D">
        <w:rPr>
          <w:szCs w:val="22"/>
        </w:rPr>
        <w:t>3</w:t>
      </w:r>
      <w:r w:rsidRPr="005C23D6">
        <w:rPr>
          <w:szCs w:val="22"/>
        </w:rPr>
        <w:t xml:space="preserve">.5 a </w:t>
      </w:r>
      <w:r w:rsidR="0068612D">
        <w:rPr>
          <w:szCs w:val="22"/>
        </w:rPr>
        <w:t>3</w:t>
      </w:r>
      <w:r w:rsidRPr="005C23D6">
        <w:rPr>
          <w:szCs w:val="22"/>
        </w:rPr>
        <w:t xml:space="preserve">.9). </w:t>
      </w:r>
    </w:p>
    <w:p w14:paraId="2A40C338" w14:textId="77777777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Butorfanol je antitusikum a nesmí se používat v kombinaci </w:t>
      </w:r>
      <w:bookmarkStart w:id="9" w:name="_Hlk80701795"/>
      <w:r w:rsidRPr="005C23D6">
        <w:rPr>
          <w:szCs w:val="22"/>
        </w:rPr>
        <w:t>s žádným expektorans</w:t>
      </w:r>
      <w:bookmarkEnd w:id="9"/>
      <w:r w:rsidRPr="005C23D6">
        <w:rPr>
          <w:szCs w:val="22"/>
        </w:rPr>
        <w:t xml:space="preserve">, protože by mohlo dojít ke hromadění hlenu v dýchacích cestách. </w:t>
      </w:r>
    </w:p>
    <w:p w14:paraId="118E0680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Vzhledem k antagonistickým </w:t>
      </w:r>
      <w:bookmarkStart w:id="10" w:name="_Hlk80701845"/>
      <w:r w:rsidRPr="005C23D6">
        <w:rPr>
          <w:szCs w:val="22"/>
        </w:rPr>
        <w:t xml:space="preserve">účinkům na opioidní mí (μ) receptor </w:t>
      </w:r>
      <w:bookmarkEnd w:id="10"/>
      <w:r w:rsidRPr="005C23D6">
        <w:rPr>
          <w:szCs w:val="22"/>
        </w:rPr>
        <w:t>může butorfanol rušit analgetický účinek u zvířat, která již byla léčena čistě agonisty opiátového mí (μ) receptoru (morfin/oxymorfin).</w:t>
      </w:r>
    </w:p>
    <w:p w14:paraId="109C1719" w14:textId="77777777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Při současném použití dalších sedativ centrálního nervového systému se předpokládá umocnění účinků butorfanolu a je tedy nutné používat takové léky opatrně. Při současném podání těchto přípravků je nutné použít nižší dávku butorfanolu.</w:t>
      </w:r>
    </w:p>
    <w:p w14:paraId="0B86F3A7" w14:textId="77777777" w:rsidR="00C90EDA" w:rsidRPr="005C23D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5C23D6" w:rsidRDefault="00C605FD" w:rsidP="00B13B6D">
      <w:pPr>
        <w:pStyle w:val="Style1"/>
      </w:pPr>
      <w:r w:rsidRPr="005C23D6">
        <w:t>3.9</w:t>
      </w:r>
      <w:r w:rsidRPr="005C23D6">
        <w:tab/>
        <w:t>Cesty podání a dávkování</w:t>
      </w:r>
    </w:p>
    <w:p w14:paraId="0C31E074" w14:textId="77777777" w:rsidR="00145D34" w:rsidRPr="005C23D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2DA425" w14:textId="6C194F61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Pes a kočka:</w:t>
      </w:r>
      <w:r w:rsidR="00C275DD">
        <w:rPr>
          <w:szCs w:val="22"/>
        </w:rPr>
        <w:tab/>
      </w:r>
      <w:r w:rsidRPr="005C23D6">
        <w:rPr>
          <w:szCs w:val="22"/>
        </w:rPr>
        <w:tab/>
        <w:t>Intravenózní, intramuskulární a subkutánní podání.</w:t>
      </w:r>
    </w:p>
    <w:p w14:paraId="1CFEE2E1" w14:textId="6722CDE5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5C23D6">
        <w:rPr>
          <w:color w:val="000000"/>
          <w:szCs w:val="22"/>
          <w:lang w:eastAsia="nl-NL"/>
        </w:rPr>
        <w:t xml:space="preserve">Kůň: </w:t>
      </w:r>
      <w:r w:rsidRPr="005C23D6">
        <w:rPr>
          <w:color w:val="000000"/>
          <w:szCs w:val="22"/>
          <w:lang w:eastAsia="nl-NL"/>
        </w:rPr>
        <w:tab/>
      </w:r>
      <w:r w:rsidRPr="005C23D6">
        <w:rPr>
          <w:color w:val="000000"/>
          <w:szCs w:val="22"/>
          <w:lang w:eastAsia="nl-NL"/>
        </w:rPr>
        <w:tab/>
      </w:r>
      <w:r w:rsidR="00C275DD">
        <w:rPr>
          <w:color w:val="000000"/>
          <w:szCs w:val="22"/>
          <w:lang w:eastAsia="nl-NL"/>
        </w:rPr>
        <w:tab/>
      </w:r>
      <w:r w:rsidRPr="005C23D6">
        <w:rPr>
          <w:color w:val="000000"/>
          <w:szCs w:val="22"/>
          <w:lang w:eastAsia="nl-NL"/>
        </w:rPr>
        <w:t xml:space="preserve">Intravenózní podání. </w:t>
      </w:r>
    </w:p>
    <w:p w14:paraId="63951FDA" w14:textId="77777777" w:rsidR="000F4741" w:rsidRPr="005C23D6" w:rsidRDefault="000F4741" w:rsidP="008E11D7">
      <w:pPr>
        <w:tabs>
          <w:tab w:val="clear" w:pos="567"/>
        </w:tabs>
        <w:spacing w:line="240" w:lineRule="auto"/>
        <w:rPr>
          <w:szCs w:val="22"/>
        </w:rPr>
      </w:pPr>
    </w:p>
    <w:p w14:paraId="708AC118" w14:textId="558F3F59" w:rsidR="008E11D7" w:rsidRDefault="0068612D" w:rsidP="008E11D7">
      <w:pPr>
        <w:tabs>
          <w:tab w:val="clear" w:pos="567"/>
        </w:tabs>
        <w:spacing w:line="240" w:lineRule="auto"/>
        <w:jc w:val="both"/>
      </w:pPr>
      <w:r w:rsidRPr="00B41D57">
        <w:t>Pro zajištění správného dávkování je třeba co nejpřesněji stanovit živou hmotnost</w:t>
      </w:r>
      <w:r>
        <w:t>.</w:t>
      </w:r>
    </w:p>
    <w:p w14:paraId="7D52304E" w14:textId="77777777" w:rsidR="0068612D" w:rsidRPr="005C23D6" w:rsidRDefault="0068612D" w:rsidP="008E11D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61EAD88" w14:textId="143A6355" w:rsidR="008E11D7" w:rsidRPr="00310B41" w:rsidRDefault="008E11D7" w:rsidP="008E11D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10B41">
        <w:rPr>
          <w:szCs w:val="22"/>
          <w:u w:val="single"/>
        </w:rPr>
        <w:t>Pes</w:t>
      </w:r>
      <w:r w:rsidR="0068612D">
        <w:rPr>
          <w:szCs w:val="22"/>
          <w:u w:val="single"/>
        </w:rPr>
        <w:t>:</w:t>
      </w:r>
    </w:p>
    <w:p w14:paraId="31F3FEF8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78892B49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analgezii: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3"/>
        <w:gridCol w:w="4406"/>
      </w:tblGrid>
      <w:tr w:rsidR="008E11D7" w:rsidRPr="005C23D6" w14:paraId="0E1E56BD" w14:textId="77777777" w:rsidTr="00FD12E2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E7C6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6DF5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51B2223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butorfanolu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727C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8E11D7" w:rsidRPr="005C23D6" w14:paraId="657854DA" w14:textId="77777777" w:rsidTr="00FD12E2">
        <w:tc>
          <w:tcPr>
            <w:tcW w:w="60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F248C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EFC5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4889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E11D7" w:rsidRPr="005C23D6" w14:paraId="77227295" w14:textId="77777777" w:rsidTr="00FD12E2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2D2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i.v., i.m., nebo s.c.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F19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0,20</w:t>
            </w:r>
            <w:r w:rsidRPr="005C23D6">
              <w:rPr>
                <w:color w:val="000000"/>
                <w:szCs w:val="22"/>
              </w:rPr>
              <w:noBreakHyphen/>
              <w:t>0,30 mg/kg živé hmotnosti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A93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0,02</w:t>
            </w:r>
            <w:r w:rsidRPr="005C23D6">
              <w:rPr>
                <w:b/>
                <w:bCs/>
                <w:color w:val="000000"/>
                <w:szCs w:val="22"/>
              </w:rPr>
              <w:noBreakHyphen/>
              <w:t>0,03 ml/kg živé hmotnosti</w:t>
            </w:r>
          </w:p>
        </w:tc>
      </w:tr>
      <w:tr w:rsidR="008E11D7" w:rsidRPr="005C23D6" w14:paraId="3F08D250" w14:textId="77777777" w:rsidTr="00FD12E2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ADC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148" w14:textId="66BC26F9" w:rsidR="008E11D7" w:rsidRPr="005C23D6" w:rsidRDefault="00230684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b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i</w:t>
            </w:r>
            <w:r w:rsidR="008E11D7" w:rsidRPr="005C23D6">
              <w:rPr>
                <w:color w:val="000000"/>
                <w:szCs w:val="22"/>
              </w:rPr>
              <w:t>.v</w:t>
            </w:r>
            <w:proofErr w:type="spellEnd"/>
            <w:r w:rsidR="008E11D7" w:rsidRPr="005C23D6">
              <w:rPr>
                <w:color w:val="000000"/>
                <w:szCs w:val="22"/>
              </w:rPr>
              <w:t>. podání by mělo být pomalé.</w:t>
            </w:r>
            <w:r w:rsidR="008E11D7" w:rsidRPr="005C23D6">
              <w:rPr>
                <w:b/>
                <w:bCs/>
                <w:szCs w:val="22"/>
              </w:rPr>
              <w:t xml:space="preserve"> </w:t>
            </w:r>
          </w:p>
          <w:p w14:paraId="4E38149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Analgetické účinky se projevují do 15 minut od injekčního podání.</w:t>
            </w:r>
          </w:p>
          <w:p w14:paraId="587AD21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Podávejte 15 minut před ukončením anestezie, abyste zajistili analgezii ve fázi probouzení. </w:t>
            </w:r>
          </w:p>
          <w:p w14:paraId="7ADB02D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Pro trvalou analgezii opakujte dávku podle potřeby.</w:t>
            </w:r>
          </w:p>
        </w:tc>
      </w:tr>
    </w:tbl>
    <w:p w14:paraId="50792998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533D8096" w14:textId="77777777" w:rsidR="008E11D7" w:rsidRPr="005C23D6" w:rsidRDefault="008E11D7" w:rsidP="008E11D7">
      <w:pPr>
        <w:keepNext/>
        <w:keepLines/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sedaci v kombinaci s medetomidin hydrochloridem: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2013"/>
        <w:gridCol w:w="2157"/>
        <w:gridCol w:w="3740"/>
      </w:tblGrid>
      <w:tr w:rsidR="008E11D7" w:rsidRPr="005C23D6" w14:paraId="38E7EE54" w14:textId="77777777" w:rsidTr="00FD12E2"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E88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8AFA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6B31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1601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63CFE09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medetomidin hydrochloridu</w:t>
            </w:r>
          </w:p>
        </w:tc>
      </w:tr>
      <w:tr w:rsidR="008E11D7" w:rsidRPr="005C23D6" w14:paraId="40409D48" w14:textId="77777777" w:rsidTr="00FD12E2"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CE74" w14:textId="77777777" w:rsidR="008E11D7" w:rsidRPr="005C23D6" w:rsidRDefault="008E11D7" w:rsidP="008E11D7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0BF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08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A63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E2B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6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8E11D7" w:rsidRPr="005C23D6" w14:paraId="77143E33" w14:textId="77777777" w:rsidTr="00FD12E2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AC1A" w14:textId="77777777" w:rsidR="008E11D7" w:rsidRPr="005C23D6" w:rsidRDefault="008E11D7" w:rsidP="008E11D7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i.m. nebo</w:t>
            </w:r>
          </w:p>
          <w:p w14:paraId="3E7D05DC" w14:textId="77777777" w:rsidR="008E11D7" w:rsidRPr="005C23D6" w:rsidRDefault="008E11D7" w:rsidP="008E11D7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AD6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 mg/kg živé hmotnosti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122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0B7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0,01*</w:t>
            </w:r>
            <w:r w:rsidRPr="005C23D6">
              <w:rPr>
                <w:color w:val="000000"/>
                <w:szCs w:val="22"/>
              </w:rPr>
              <w:noBreakHyphen/>
              <w:t>0,025**mg/kg živé hmotnosti</w:t>
            </w:r>
          </w:p>
        </w:tc>
      </w:tr>
      <w:tr w:rsidR="008E11D7" w:rsidRPr="005C23D6" w14:paraId="7256A9C7" w14:textId="77777777" w:rsidTr="00FD12E2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1B71" w14:textId="77777777" w:rsidR="008E11D7" w:rsidRPr="005C23D6" w:rsidRDefault="008E11D7" w:rsidP="008E11D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B41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Než zahájíte zákrok, vyčkejte 20 minut, až se dostaví hluboká sedace.</w:t>
            </w:r>
          </w:p>
          <w:p w14:paraId="42E8A6E0" w14:textId="5BBC9D1D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medetomidin a butorfanol a podávat je ve stejné stříkačce (viz bod </w:t>
            </w:r>
            <w:r w:rsidR="0068612D">
              <w:rPr>
                <w:color w:val="000000"/>
                <w:szCs w:val="22"/>
              </w:rPr>
              <w:t>5</w:t>
            </w:r>
            <w:r w:rsidRPr="005C23D6">
              <w:rPr>
                <w:color w:val="000000"/>
                <w:szCs w:val="22"/>
              </w:rPr>
              <w:t>.</w:t>
            </w:r>
            <w:r w:rsidR="0068612D">
              <w:rPr>
                <w:color w:val="000000"/>
                <w:szCs w:val="22"/>
              </w:rPr>
              <w:t>1</w:t>
            </w:r>
            <w:r w:rsidRPr="005C23D6">
              <w:rPr>
                <w:color w:val="000000"/>
                <w:szCs w:val="22"/>
              </w:rPr>
              <w:t>).</w:t>
            </w:r>
          </w:p>
        </w:tc>
      </w:tr>
    </w:tbl>
    <w:p w14:paraId="01BC1F4C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095E95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* V závislosti na požadovaném stupni sedace</w:t>
      </w:r>
      <w:r w:rsidRPr="005C23D6">
        <w:rPr>
          <w:b/>
          <w:bCs/>
          <w:szCs w:val="22"/>
        </w:rPr>
        <w:t xml:space="preserve">: </w:t>
      </w:r>
      <w:r w:rsidRPr="005C23D6">
        <w:rPr>
          <w:szCs w:val="22"/>
        </w:rPr>
        <w:t>0,01 mg/kg: Pro sedaci a jako premedikace barbiturátové anestezie</w:t>
      </w:r>
    </w:p>
    <w:p w14:paraId="677E47E8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** V závislosti na požadovaném stupni sedace</w:t>
      </w:r>
      <w:r w:rsidRPr="005C23D6">
        <w:rPr>
          <w:b/>
          <w:bCs/>
          <w:szCs w:val="22"/>
        </w:rPr>
        <w:t xml:space="preserve"> </w:t>
      </w:r>
      <w:r w:rsidRPr="005C23D6">
        <w:rPr>
          <w:szCs w:val="22"/>
        </w:rPr>
        <w:t>0,025 mg/kg: Pro hlubokou sedaci a jako premedikace ketaminové anestezie</w:t>
      </w:r>
    </w:p>
    <w:p w14:paraId="72996E96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34727F" w14:textId="77777777" w:rsidR="008E11D7" w:rsidRPr="005C23D6" w:rsidRDefault="008E11D7" w:rsidP="008E11D7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  <w:r w:rsidRPr="005C23D6">
        <w:rPr>
          <w:i/>
          <w:iCs/>
          <w:szCs w:val="22"/>
        </w:rPr>
        <w:t>Pro použití jako premedikace / před anestezií:</w:t>
      </w:r>
    </w:p>
    <w:p w14:paraId="0E192B4F" w14:textId="77777777" w:rsidR="008E11D7" w:rsidRPr="005C23D6" w:rsidRDefault="008E11D7" w:rsidP="008E11D7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</w:p>
    <w:p w14:paraId="769F3FE1" w14:textId="7042C4F8" w:rsidR="008E11D7" w:rsidRPr="005C23D6" w:rsidRDefault="008E11D7" w:rsidP="008E11D7">
      <w:pPr>
        <w:tabs>
          <w:tab w:val="clear" w:pos="567"/>
          <w:tab w:val="left" w:pos="993"/>
          <w:tab w:val="left" w:pos="6237"/>
        </w:tabs>
        <w:spacing w:line="240" w:lineRule="auto"/>
        <w:jc w:val="both"/>
        <w:rPr>
          <w:color w:val="000000"/>
          <w:szCs w:val="22"/>
        </w:rPr>
      </w:pPr>
      <w:r w:rsidRPr="00D22CE9">
        <w:rPr>
          <w:color w:val="000000"/>
          <w:szCs w:val="22"/>
          <w:u w:val="single"/>
        </w:rPr>
        <w:t xml:space="preserve">Při </w:t>
      </w:r>
      <w:r w:rsidRPr="005C23D6">
        <w:rPr>
          <w:color w:val="000000"/>
          <w:szCs w:val="22"/>
          <w:u w:val="single"/>
        </w:rPr>
        <w:t xml:space="preserve">použití </w:t>
      </w:r>
      <w:r w:rsidR="0068612D">
        <w:rPr>
          <w:color w:val="000000"/>
          <w:szCs w:val="22"/>
          <w:u w:val="single"/>
        </w:rPr>
        <w:t xml:space="preserve">veterinárního léčivého </w:t>
      </w:r>
      <w:r w:rsidRPr="005C23D6">
        <w:rPr>
          <w:color w:val="000000"/>
          <w:szCs w:val="22"/>
          <w:u w:val="single"/>
        </w:rPr>
        <w:t>přípravku samostatně</w:t>
      </w:r>
      <w:r w:rsidRPr="005C23D6">
        <w:rPr>
          <w:color w:val="000000"/>
          <w:szCs w:val="22"/>
        </w:rPr>
        <w:t>:</w:t>
      </w:r>
    </w:p>
    <w:p w14:paraId="566284D6" w14:textId="77777777" w:rsidR="008E11D7" w:rsidRPr="005C23D6" w:rsidRDefault="008E11D7" w:rsidP="008E11D7">
      <w:pPr>
        <w:tabs>
          <w:tab w:val="clear" w:pos="567"/>
          <w:tab w:val="left" w:pos="993"/>
          <w:tab w:val="left" w:pos="6237"/>
        </w:tabs>
        <w:spacing w:line="240" w:lineRule="auto"/>
        <w:jc w:val="both"/>
        <w:rPr>
          <w:bCs/>
          <w:color w:val="000000"/>
          <w:szCs w:val="22"/>
        </w:rPr>
      </w:pPr>
      <w:r w:rsidRPr="005C23D6">
        <w:rPr>
          <w:color w:val="000000"/>
          <w:szCs w:val="22"/>
        </w:rPr>
        <w:t xml:space="preserve"> 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3183"/>
        <w:gridCol w:w="4425"/>
      </w:tblGrid>
      <w:tr w:rsidR="008E11D7" w:rsidRPr="005C23D6" w14:paraId="1E73969A" w14:textId="77777777" w:rsidTr="00FD12E2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E760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1B5A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1E7E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8E11D7" w:rsidRPr="005C23D6" w14:paraId="6C5D53B5" w14:textId="77777777" w:rsidTr="00FD12E2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48B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lastRenderedPageBreak/>
              <w:t>i.v., i.m., nebo s.c.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8C37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</w:t>
            </w:r>
            <w:r w:rsidRPr="005C23D6">
              <w:rPr>
                <w:color w:val="000000"/>
                <w:szCs w:val="22"/>
              </w:rPr>
              <w:noBreakHyphen/>
              <w:t>0,20 mg/kg živé hmotnosti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FDDB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6E85BFB4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</w:t>
            </w:r>
            <w:r w:rsidRPr="005C23D6">
              <w:rPr>
                <w:b/>
                <w:bCs/>
                <w:color w:val="000000"/>
                <w:szCs w:val="22"/>
              </w:rPr>
              <w:noBreakHyphen/>
              <w:t>0,02 ml/kg živé hmotnosti</w:t>
            </w:r>
          </w:p>
          <w:p w14:paraId="1C18540E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8E11D7" w:rsidRPr="005C23D6" w14:paraId="0C2576EF" w14:textId="77777777" w:rsidTr="00FD12E2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308D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7D58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15 minut před indukcí</w:t>
            </w:r>
          </w:p>
        </w:tc>
      </w:tr>
    </w:tbl>
    <w:p w14:paraId="145059C3" w14:textId="77777777" w:rsidR="008E11D7" w:rsidRPr="005C23D6" w:rsidRDefault="008E11D7" w:rsidP="008E11D7">
      <w:pPr>
        <w:tabs>
          <w:tab w:val="clear" w:pos="567"/>
          <w:tab w:val="left" w:pos="993"/>
          <w:tab w:val="left" w:pos="6237"/>
        </w:tabs>
        <w:spacing w:line="240" w:lineRule="auto"/>
        <w:jc w:val="both"/>
        <w:rPr>
          <w:bCs/>
          <w:color w:val="000000"/>
          <w:szCs w:val="22"/>
        </w:rPr>
      </w:pPr>
    </w:p>
    <w:p w14:paraId="69904463" w14:textId="3526A0E1" w:rsidR="008E11D7" w:rsidRPr="005C23D6" w:rsidRDefault="008E11D7" w:rsidP="008E11D7">
      <w:pPr>
        <w:tabs>
          <w:tab w:val="clear" w:pos="567"/>
          <w:tab w:val="left" w:pos="993"/>
          <w:tab w:val="left" w:pos="3544"/>
          <w:tab w:val="left" w:pos="6237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5C23D6">
        <w:rPr>
          <w:color w:val="000000"/>
          <w:szCs w:val="22"/>
          <w:u w:val="single"/>
        </w:rPr>
        <w:t xml:space="preserve">Při použití </w:t>
      </w:r>
      <w:r w:rsidR="0068612D">
        <w:rPr>
          <w:color w:val="000000"/>
          <w:szCs w:val="22"/>
          <w:u w:val="single"/>
        </w:rPr>
        <w:t xml:space="preserve">veterinárního léčivého </w:t>
      </w:r>
      <w:r w:rsidRPr="005C23D6">
        <w:rPr>
          <w:color w:val="000000"/>
          <w:szCs w:val="22"/>
          <w:u w:val="single"/>
        </w:rPr>
        <w:t>přípravku společně s 0,02 mg/kg acepromazinu</w:t>
      </w:r>
      <w:r w:rsidRPr="005C23D6">
        <w:rPr>
          <w:color w:val="000000"/>
          <w:szCs w:val="22"/>
        </w:rPr>
        <w:t>:</w:t>
      </w:r>
    </w:p>
    <w:p w14:paraId="5E9C6CCB" w14:textId="77777777" w:rsidR="008E11D7" w:rsidRPr="005C23D6" w:rsidRDefault="008E11D7" w:rsidP="008E11D7">
      <w:pPr>
        <w:tabs>
          <w:tab w:val="clear" w:pos="567"/>
          <w:tab w:val="left" w:pos="993"/>
          <w:tab w:val="left" w:pos="3544"/>
          <w:tab w:val="left" w:pos="6237"/>
        </w:tabs>
        <w:spacing w:line="240" w:lineRule="auto"/>
        <w:ind w:left="567" w:hanging="567"/>
        <w:jc w:val="both"/>
        <w:rPr>
          <w:color w:val="000000"/>
          <w:szCs w:val="22"/>
        </w:rPr>
      </w:pP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1"/>
        <w:gridCol w:w="4408"/>
      </w:tblGrid>
      <w:tr w:rsidR="008E11D7" w:rsidRPr="005C23D6" w14:paraId="164EA029" w14:textId="77777777" w:rsidTr="00FD12E2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97FD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7F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B6F4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8E11D7" w:rsidRPr="005C23D6" w14:paraId="70A211F4" w14:textId="77777777" w:rsidTr="00FD12E2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FF7D" w14:textId="77777777" w:rsidR="008E11D7" w:rsidRPr="005C23D6" w:rsidRDefault="008E11D7" w:rsidP="008E11D7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 nebo</w:t>
            </w:r>
          </w:p>
          <w:p w14:paraId="2DF039E6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i.m.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FE13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72C510B7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hmotnosti*</w:t>
            </w:r>
          </w:p>
          <w:p w14:paraId="0D1F3964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5D04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hmotnosti*</w:t>
            </w:r>
          </w:p>
        </w:tc>
      </w:tr>
      <w:tr w:rsidR="008E11D7" w:rsidRPr="005C23D6" w14:paraId="2F5F5DE1" w14:textId="77777777" w:rsidTr="00FD12E2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C3FE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A58B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Vyčkejte nejméně 20 minut, než se dostaví účinek, avšak doba mezi premedikací a indukcí je flexibilní od 20 do 120 minut.</w:t>
            </w:r>
          </w:p>
          <w:p w14:paraId="3A4976CD" w14:textId="6AFF9E6E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butorfanol a acepromazin a podávat je ve stejné stříkačce (viz bod </w:t>
            </w:r>
            <w:r w:rsidR="0068612D">
              <w:rPr>
                <w:color w:val="000000"/>
                <w:szCs w:val="22"/>
              </w:rPr>
              <w:t>5</w:t>
            </w:r>
            <w:r w:rsidRPr="005C23D6">
              <w:rPr>
                <w:color w:val="000000"/>
                <w:szCs w:val="22"/>
              </w:rPr>
              <w:t>.</w:t>
            </w:r>
            <w:r w:rsidR="0068612D">
              <w:rPr>
                <w:color w:val="000000"/>
                <w:szCs w:val="22"/>
              </w:rPr>
              <w:t>1</w:t>
            </w:r>
            <w:r w:rsidRPr="005C23D6">
              <w:rPr>
                <w:color w:val="000000"/>
                <w:szCs w:val="22"/>
              </w:rPr>
              <w:t>).</w:t>
            </w:r>
          </w:p>
        </w:tc>
      </w:tr>
    </w:tbl>
    <w:p w14:paraId="78A15E8C" w14:textId="77777777" w:rsidR="008E11D7" w:rsidRPr="005C23D6" w:rsidRDefault="008E11D7" w:rsidP="008E11D7">
      <w:pPr>
        <w:tabs>
          <w:tab w:val="clear" w:pos="567"/>
          <w:tab w:val="left" w:pos="993"/>
          <w:tab w:val="left" w:pos="3544"/>
          <w:tab w:val="left" w:pos="6237"/>
        </w:tabs>
        <w:spacing w:line="240" w:lineRule="auto"/>
        <w:jc w:val="both"/>
        <w:rPr>
          <w:bCs/>
          <w:color w:val="000000"/>
          <w:szCs w:val="22"/>
        </w:rPr>
      </w:pPr>
      <w:r w:rsidRPr="005C23D6">
        <w:rPr>
          <w:color w:val="000000"/>
          <w:szCs w:val="22"/>
        </w:rPr>
        <w:t xml:space="preserve"> </w:t>
      </w:r>
    </w:p>
    <w:p w14:paraId="61B50A95" w14:textId="77777777" w:rsidR="008E11D7" w:rsidRPr="005C23D6" w:rsidRDefault="008E11D7" w:rsidP="008E11D7">
      <w:pPr>
        <w:tabs>
          <w:tab w:val="clear" w:pos="567"/>
          <w:tab w:val="left" w:pos="284"/>
          <w:tab w:val="left" w:pos="3544"/>
          <w:tab w:val="left" w:pos="6237"/>
        </w:tabs>
        <w:spacing w:line="240" w:lineRule="auto"/>
        <w:ind w:left="284" w:hanging="284"/>
        <w:jc w:val="both"/>
        <w:rPr>
          <w:bCs/>
          <w:color w:val="000000"/>
          <w:szCs w:val="22"/>
        </w:rPr>
      </w:pPr>
      <w:r w:rsidRPr="005C23D6">
        <w:rPr>
          <w:color w:val="000000"/>
          <w:szCs w:val="22"/>
        </w:rPr>
        <w:t>*</w:t>
      </w:r>
      <w:r w:rsidRPr="005C23D6">
        <w:rPr>
          <w:color w:val="000000"/>
          <w:szCs w:val="22"/>
        </w:rPr>
        <w:tab/>
        <w:t>Dávka může být zvýšena na 0,2 mg/kg (odpovídá 0,02 ml/kg), pokud zvíře cítí bolest již před zahájením výkonu nebo pokud je během chirurgického zákroku požadována vyšší úroveň analgezie.</w:t>
      </w:r>
    </w:p>
    <w:p w14:paraId="7963DB5B" w14:textId="77777777" w:rsidR="008E11D7" w:rsidRPr="005C23D6" w:rsidRDefault="008E11D7" w:rsidP="008E11D7">
      <w:pPr>
        <w:widowControl w:val="0"/>
        <w:tabs>
          <w:tab w:val="clear" w:pos="567"/>
        </w:tabs>
        <w:spacing w:line="240" w:lineRule="auto"/>
        <w:ind w:firstLine="3"/>
        <w:jc w:val="both"/>
        <w:rPr>
          <w:szCs w:val="22"/>
        </w:rPr>
      </w:pPr>
    </w:p>
    <w:p w14:paraId="06E31B1D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anestezii v kombinaci s medetomidinem a ketaminem: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983"/>
        <w:gridCol w:w="1841"/>
        <w:gridCol w:w="1839"/>
        <w:gridCol w:w="2265"/>
      </w:tblGrid>
      <w:tr w:rsidR="008E11D7" w:rsidRPr="005C23D6" w14:paraId="3FD3C11F" w14:textId="77777777" w:rsidTr="00FD12E2"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CE1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ind w:left="-6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76A0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A940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DF7C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medetomidinu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79DA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7268F6D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ketaminu</w:t>
            </w:r>
          </w:p>
        </w:tc>
      </w:tr>
      <w:tr w:rsidR="008E11D7" w:rsidRPr="005C23D6" w14:paraId="227D063C" w14:textId="77777777" w:rsidTr="00FD12E2"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A2B2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57B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B5A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2A0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1E4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8E11D7" w:rsidRPr="005C23D6" w14:paraId="2A272E59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00B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0AD9C85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i.m.</w:t>
            </w:r>
          </w:p>
          <w:p w14:paraId="5FE8390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2A8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32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329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0,025 mg/kg živé hmotnosti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CFB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5,0 mg/kg živé hmotnosti*</w:t>
            </w:r>
          </w:p>
        </w:tc>
      </w:tr>
      <w:tr w:rsidR="008E11D7" w:rsidRPr="005C23D6" w14:paraId="15BDE424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D80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B01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Reverze atipamezolem není doporučena.</w:t>
            </w:r>
          </w:p>
          <w:p w14:paraId="2E809416" w14:textId="6CB62E9D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</w:t>
            </w:r>
            <w:r w:rsidRPr="005C23D6">
              <w:rPr>
                <w:szCs w:val="22"/>
              </w:rPr>
              <w:t xml:space="preserve">medetomidin a butorfanol a podávat je ve stejné stříkačce (viz bod </w:t>
            </w:r>
            <w:r w:rsidR="0068612D">
              <w:rPr>
                <w:szCs w:val="22"/>
              </w:rPr>
              <w:t>5</w:t>
            </w:r>
            <w:r w:rsidRPr="005C23D6">
              <w:rPr>
                <w:szCs w:val="22"/>
              </w:rPr>
              <w:t>.</w:t>
            </w:r>
            <w:r w:rsidR="0068612D">
              <w:rPr>
                <w:szCs w:val="22"/>
              </w:rPr>
              <w:t>1</w:t>
            </w:r>
            <w:r w:rsidRPr="005C23D6">
              <w:rPr>
                <w:szCs w:val="22"/>
              </w:rPr>
              <w:t>).</w:t>
            </w:r>
          </w:p>
        </w:tc>
      </w:tr>
    </w:tbl>
    <w:p w14:paraId="30E5EBE1" w14:textId="77777777" w:rsidR="008E11D7" w:rsidRPr="005C23D6" w:rsidRDefault="008E11D7" w:rsidP="008E11D7">
      <w:pPr>
        <w:tabs>
          <w:tab w:val="clear" w:pos="567"/>
          <w:tab w:val="left" w:pos="720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* Ketamin je nutno podat 15 minut po i.m. podání kombinace butorfanolu a medetomidinu. </w:t>
      </w:r>
    </w:p>
    <w:p w14:paraId="7F96F66B" w14:textId="77777777" w:rsidR="008E11D7" w:rsidRPr="005C23D6" w:rsidRDefault="008E11D7" w:rsidP="008E11D7">
      <w:pPr>
        <w:tabs>
          <w:tab w:val="clear" w:pos="567"/>
          <w:tab w:val="left" w:pos="1815"/>
        </w:tabs>
        <w:spacing w:line="240" w:lineRule="auto"/>
        <w:jc w:val="both"/>
        <w:rPr>
          <w:b/>
          <w:szCs w:val="22"/>
        </w:rPr>
      </w:pPr>
    </w:p>
    <w:p w14:paraId="5D786559" w14:textId="31CAEE1B" w:rsidR="008E11D7" w:rsidRDefault="008E11D7" w:rsidP="008E11D7">
      <w:pPr>
        <w:keepNext/>
        <w:tabs>
          <w:tab w:val="clear" w:pos="567"/>
          <w:tab w:val="left" w:pos="1815"/>
        </w:tabs>
        <w:spacing w:line="240" w:lineRule="auto"/>
        <w:jc w:val="both"/>
        <w:rPr>
          <w:szCs w:val="22"/>
          <w:u w:val="single"/>
        </w:rPr>
      </w:pPr>
      <w:r w:rsidRPr="008804DA">
        <w:rPr>
          <w:szCs w:val="22"/>
          <w:u w:val="single"/>
        </w:rPr>
        <w:t>Kočka</w:t>
      </w:r>
      <w:r w:rsidR="0068612D">
        <w:rPr>
          <w:szCs w:val="22"/>
          <w:u w:val="single"/>
        </w:rPr>
        <w:t>:</w:t>
      </w:r>
    </w:p>
    <w:p w14:paraId="31784027" w14:textId="77777777" w:rsidR="0068612D" w:rsidRPr="008804DA" w:rsidRDefault="0068612D" w:rsidP="008E11D7">
      <w:pPr>
        <w:keepNext/>
        <w:tabs>
          <w:tab w:val="clear" w:pos="567"/>
          <w:tab w:val="left" w:pos="1815"/>
        </w:tabs>
        <w:spacing w:line="240" w:lineRule="auto"/>
        <w:jc w:val="both"/>
        <w:rPr>
          <w:szCs w:val="22"/>
          <w:u w:val="single"/>
        </w:rPr>
      </w:pPr>
    </w:p>
    <w:p w14:paraId="6ED4F88C" w14:textId="77777777" w:rsidR="008E11D7" w:rsidRPr="005C23D6" w:rsidRDefault="008E11D7" w:rsidP="008E11D7">
      <w:pPr>
        <w:keepNext/>
        <w:tabs>
          <w:tab w:val="clear" w:pos="567"/>
          <w:tab w:val="left" w:pos="1815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předoperační analgezii: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0"/>
        <w:gridCol w:w="4547"/>
      </w:tblGrid>
      <w:tr w:rsidR="008E11D7" w:rsidRPr="005C23D6" w14:paraId="134AB46B" w14:textId="77777777" w:rsidTr="00FD12E2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FFE4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BE27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</w:p>
          <w:p w14:paraId="7C8B808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butorfanolu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F066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37354FF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</w:tr>
      <w:tr w:rsidR="008E11D7" w:rsidRPr="005C23D6" w14:paraId="5CFAE221" w14:textId="77777777" w:rsidTr="00FD12E2">
        <w:tc>
          <w:tcPr>
            <w:tcW w:w="59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82AF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2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5F5A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7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D643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E11D7" w:rsidRPr="005C23D6" w14:paraId="01DD8B90" w14:textId="77777777" w:rsidTr="00FD12E2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FCC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i.m. nebo</w:t>
            </w:r>
          </w:p>
          <w:p w14:paraId="700A601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s.c.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16D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 mg/kg živé hmotnosti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36D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</w:tr>
      <w:tr w:rsidR="008E11D7" w:rsidRPr="005C23D6" w14:paraId="7E7E9817" w14:textId="77777777" w:rsidTr="00FD12E2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CD8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B96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Podávejte 15</w:t>
            </w:r>
            <w:r w:rsidRPr="005C23D6">
              <w:rPr>
                <w:color w:val="000000"/>
                <w:szCs w:val="22"/>
              </w:rPr>
              <w:noBreakHyphen/>
              <w:t>30 minut před i.v. podáním indukčních anestetických přípravků.</w:t>
            </w:r>
          </w:p>
          <w:p w14:paraId="682214A3" w14:textId="0CE7FB4E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Podávejte 5 minut před indukcí s i.m. indukčními anestetickými látkami jako jsou kombinace i.m. acepromazinu a ketaminu nebo xylazinu a ketaminu.</w:t>
            </w:r>
          </w:p>
        </w:tc>
      </w:tr>
    </w:tbl>
    <w:p w14:paraId="599D9341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0D2709D8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pooperační analgezii: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1"/>
        <w:gridCol w:w="4546"/>
      </w:tblGrid>
      <w:tr w:rsidR="008E11D7" w:rsidRPr="005C23D6" w14:paraId="59F6390D" w14:textId="77777777" w:rsidTr="00FD12E2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1662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lastRenderedPageBreak/>
              <w:t>Způsob podání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8D95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2DA672B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butorfanolu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A977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10E2702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</w:tr>
      <w:tr w:rsidR="008E11D7" w:rsidRPr="005C23D6" w14:paraId="0C869D5A" w14:textId="77777777" w:rsidTr="00FD12E2">
        <w:tc>
          <w:tcPr>
            <w:tcW w:w="59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7853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2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F1CA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7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ADB9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E11D7" w:rsidRPr="005C23D6" w14:paraId="6D772846" w14:textId="77777777" w:rsidTr="00FD12E2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3E5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321775B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s.c. nebo i.m.</w:t>
            </w:r>
          </w:p>
          <w:p w14:paraId="490C76E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577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 mg/kg živé hmotnosti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BC1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47283B4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</w:tr>
      <w:tr w:rsidR="008E11D7" w:rsidRPr="005C23D6" w14:paraId="4041C94C" w14:textId="77777777" w:rsidTr="00FD12E2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ED9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2EB7333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</w:t>
            </w:r>
          </w:p>
          <w:p w14:paraId="45338BE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2A7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 mg/kg živé hmotnosti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A8E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46A4EDC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</w:tr>
      <w:tr w:rsidR="008E11D7" w:rsidRPr="005C23D6" w14:paraId="079AABC5" w14:textId="77777777" w:rsidTr="00FD12E2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4DB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340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Podávejte 15 minut před probuzením</w:t>
            </w:r>
          </w:p>
        </w:tc>
      </w:tr>
    </w:tbl>
    <w:p w14:paraId="53BC5E43" w14:textId="77777777" w:rsidR="008E11D7" w:rsidRPr="005C23D6" w:rsidRDefault="008E11D7" w:rsidP="008E11D7">
      <w:pPr>
        <w:tabs>
          <w:tab w:val="clear" w:pos="567"/>
        </w:tabs>
        <w:spacing w:line="240" w:lineRule="auto"/>
        <w:rPr>
          <w:i/>
          <w:szCs w:val="22"/>
        </w:rPr>
      </w:pPr>
    </w:p>
    <w:p w14:paraId="7C7904EE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sedaci v kombinaci s medetomidin hydrochloridem: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265"/>
        <w:gridCol w:w="2832"/>
        <w:gridCol w:w="2831"/>
      </w:tblGrid>
      <w:tr w:rsidR="008E11D7" w:rsidRPr="005C23D6" w14:paraId="5C476B19" w14:textId="77777777" w:rsidTr="00FD12E2"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216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28CA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798A704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butorfanolu</w:t>
            </w:r>
          </w:p>
          <w:p w14:paraId="4F033C6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1DE3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7626BBC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F567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4CA475C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medetomidin hydrochloridu</w:t>
            </w:r>
          </w:p>
        </w:tc>
      </w:tr>
      <w:tr w:rsidR="008E11D7" w:rsidRPr="005C23D6" w14:paraId="41DBD91C" w14:textId="77777777" w:rsidTr="00FD12E2"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812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2A2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08"/>
              <w:jc w:val="both"/>
              <w:rPr>
                <w:bCs/>
                <w:color w:val="000000"/>
                <w:szCs w:val="22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C4F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939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6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8E11D7" w:rsidRPr="005C23D6" w14:paraId="53BB0F19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D04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6157FE9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i.m. nebo s.c.</w:t>
            </w:r>
          </w:p>
          <w:p w14:paraId="07CF319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B7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 mg/kg živé hmotnosti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BD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30A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0,05 mg/kg živé hmotnosti</w:t>
            </w:r>
          </w:p>
        </w:tc>
      </w:tr>
      <w:tr w:rsidR="008E11D7" w:rsidRPr="005C23D6" w14:paraId="34EB1419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04C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1AB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after="120"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Při šití ran je třeba používat lokální anestetickou infiltraci.</w:t>
            </w:r>
          </w:p>
          <w:p w14:paraId="4214D98F" w14:textId="0CBC0912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medetomidin a butorfanol a podávat je ve stejné stříkačce (viz bod </w:t>
            </w:r>
            <w:r w:rsidR="0068612D">
              <w:rPr>
                <w:color w:val="000000"/>
                <w:szCs w:val="22"/>
              </w:rPr>
              <w:t>5</w:t>
            </w:r>
            <w:r w:rsidRPr="005C23D6">
              <w:rPr>
                <w:color w:val="000000"/>
                <w:szCs w:val="22"/>
              </w:rPr>
              <w:t>.</w:t>
            </w:r>
            <w:r w:rsidR="0068612D">
              <w:rPr>
                <w:color w:val="000000"/>
                <w:szCs w:val="22"/>
              </w:rPr>
              <w:t>1</w:t>
            </w:r>
            <w:r w:rsidRPr="005C23D6">
              <w:rPr>
                <w:color w:val="000000"/>
                <w:szCs w:val="22"/>
              </w:rPr>
              <w:t>).</w:t>
            </w:r>
          </w:p>
        </w:tc>
      </w:tr>
    </w:tbl>
    <w:p w14:paraId="396ED20F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7D4E28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anestezii v kombinaci s medetomidinem a ketaminem: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983"/>
        <w:gridCol w:w="1841"/>
        <w:gridCol w:w="1839"/>
        <w:gridCol w:w="2265"/>
      </w:tblGrid>
      <w:tr w:rsidR="008E11D7" w:rsidRPr="005C23D6" w14:paraId="26FC86BC" w14:textId="77777777" w:rsidTr="00FD12E2"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440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ind w:left="-6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A7EC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111FA2D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butorfanolu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B7E60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7B0184E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42EE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2C98AC3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medetomidinu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1462D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4120EBA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ketaminu</w:t>
            </w:r>
          </w:p>
        </w:tc>
      </w:tr>
      <w:tr w:rsidR="008E11D7" w:rsidRPr="005C23D6" w14:paraId="36CEDF0D" w14:textId="77777777" w:rsidTr="00FD12E2"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AED1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5D9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751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D9E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B91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8E11D7" w:rsidRPr="005C23D6" w14:paraId="05FAC251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4B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439CBB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i.m.</w:t>
            </w:r>
          </w:p>
          <w:p w14:paraId="7849DAC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5C0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0,40 mg/kg živé hmotnosti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B6D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D7C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0,08 mg/kg živé hmotnosti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E0F3" w14:textId="24B4B249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5,0 mg/kg živé hmotnosti</w:t>
            </w:r>
          </w:p>
        </w:tc>
      </w:tr>
      <w:tr w:rsidR="008E11D7" w:rsidRPr="005C23D6" w14:paraId="36D21DE1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507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405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222621E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6E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401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0,04 mg/kg živé hmotnosti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ED6C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1,25</w:t>
            </w:r>
            <w:r w:rsidRPr="005C23D6">
              <w:rPr>
                <w:color w:val="000000"/>
                <w:szCs w:val="22"/>
              </w:rPr>
              <w:noBreakHyphen/>
              <w:t>2,50 mg/kg živé hmotnosti (v závislosti na požadované hloubce anestezie)</w:t>
            </w:r>
          </w:p>
        </w:tc>
      </w:tr>
      <w:tr w:rsidR="008E11D7" w:rsidRPr="005C23D6" w14:paraId="53DE329E" w14:textId="77777777" w:rsidTr="00FD12E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0BD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2AEA" w14:textId="7E9AE668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medetomidin, butorfanol a ketamin a podávat je ve stejné stříkačce (viz bod </w:t>
            </w:r>
            <w:r w:rsidR="0068612D">
              <w:rPr>
                <w:color w:val="000000"/>
                <w:szCs w:val="22"/>
              </w:rPr>
              <w:t>5</w:t>
            </w:r>
            <w:r w:rsidRPr="005C23D6">
              <w:rPr>
                <w:color w:val="000000"/>
                <w:szCs w:val="22"/>
              </w:rPr>
              <w:t>.</w:t>
            </w:r>
            <w:r w:rsidR="0068612D">
              <w:rPr>
                <w:color w:val="000000"/>
                <w:szCs w:val="22"/>
              </w:rPr>
              <w:t>1</w:t>
            </w:r>
            <w:r w:rsidRPr="005C23D6">
              <w:rPr>
                <w:color w:val="000000"/>
                <w:szCs w:val="22"/>
              </w:rPr>
              <w:t>).</w:t>
            </w:r>
          </w:p>
        </w:tc>
      </w:tr>
    </w:tbl>
    <w:p w14:paraId="0E48A88D" w14:textId="77777777" w:rsidR="008E11D7" w:rsidRPr="005C23D6" w:rsidRDefault="008E11D7" w:rsidP="008E11D7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1476D1D6" w14:textId="7D363C7F" w:rsidR="008E11D7" w:rsidRPr="00572251" w:rsidRDefault="008E11D7" w:rsidP="008E11D7">
      <w:pPr>
        <w:keepNext/>
        <w:keepLines/>
        <w:tabs>
          <w:tab w:val="clear" w:pos="567"/>
          <w:tab w:val="left" w:pos="0"/>
        </w:tabs>
        <w:spacing w:line="240" w:lineRule="auto"/>
        <w:rPr>
          <w:szCs w:val="22"/>
          <w:u w:val="single"/>
        </w:rPr>
      </w:pPr>
      <w:r w:rsidRPr="00572251">
        <w:rPr>
          <w:szCs w:val="22"/>
          <w:u w:val="single"/>
        </w:rPr>
        <w:t>Kůň</w:t>
      </w:r>
      <w:r w:rsidR="00572251">
        <w:rPr>
          <w:szCs w:val="22"/>
          <w:u w:val="single"/>
        </w:rPr>
        <w:t>:</w:t>
      </w:r>
    </w:p>
    <w:p w14:paraId="2D5CC374" w14:textId="77777777" w:rsidR="008E11D7" w:rsidRPr="005C23D6" w:rsidRDefault="008E11D7" w:rsidP="008E11D7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i/>
          <w:iCs/>
          <w:szCs w:val="22"/>
        </w:rPr>
        <w:t>Pro analgezii:</w:t>
      </w:r>
    </w:p>
    <w:p w14:paraId="5AC30245" w14:textId="77777777" w:rsidR="008E11D7" w:rsidRPr="005C23D6" w:rsidRDefault="008E11D7" w:rsidP="008E11D7">
      <w:pPr>
        <w:keepNext/>
        <w:keepLines/>
        <w:tabs>
          <w:tab w:val="clear" w:pos="567"/>
          <w:tab w:val="left" w:pos="540"/>
          <w:tab w:val="left" w:pos="1134"/>
          <w:tab w:val="left" w:pos="5670"/>
        </w:tabs>
        <w:spacing w:line="240" w:lineRule="auto"/>
        <w:ind w:left="540" w:hanging="540"/>
        <w:jc w:val="both"/>
        <w:rPr>
          <w:color w:val="000000"/>
          <w:szCs w:val="22"/>
        </w:rPr>
      </w:pP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2"/>
        <w:gridCol w:w="4407"/>
      </w:tblGrid>
      <w:tr w:rsidR="008E11D7" w:rsidRPr="005C23D6" w14:paraId="54FE2F54" w14:textId="77777777" w:rsidTr="00FD12E2">
        <w:trPr>
          <w:trHeight w:val="5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AF5B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0855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7D54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8E11D7" w:rsidRPr="005C23D6" w14:paraId="60144F5D" w14:textId="77777777" w:rsidTr="00FD12E2">
        <w:tc>
          <w:tcPr>
            <w:tcW w:w="60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A933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F705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48F2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E11D7" w:rsidRPr="005C23D6" w14:paraId="0685E101" w14:textId="77777777" w:rsidTr="00FD12E2">
        <w:tc>
          <w:tcPr>
            <w:tcW w:w="6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833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DF7CC6A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</w:t>
            </w:r>
          </w:p>
          <w:p w14:paraId="3669ECE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C9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626D75C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</w:t>
            </w:r>
          </w:p>
          <w:p w14:paraId="1C4CD4E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176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1B2C37C4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 xml:space="preserve">1 ml/100 kg </w:t>
            </w:r>
            <w:r w:rsidRPr="005C23D6">
              <w:rPr>
                <w:b/>
                <w:color w:val="000000"/>
                <w:szCs w:val="22"/>
              </w:rPr>
              <w:t>živé</w:t>
            </w:r>
            <w:r w:rsidRPr="005C23D6">
              <w:rPr>
                <w:b/>
                <w:bCs/>
                <w:color w:val="000000"/>
                <w:szCs w:val="22"/>
              </w:rPr>
              <w:t xml:space="preserve"> hmotnosti</w:t>
            </w:r>
          </w:p>
          <w:p w14:paraId="0A64234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3EA978A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8E11D7" w:rsidRPr="005C23D6" w14:paraId="3573EAB9" w14:textId="77777777" w:rsidTr="00FD12E2">
        <w:tc>
          <w:tcPr>
            <w:tcW w:w="6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AA6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C606" w14:textId="77777777" w:rsidR="008E11D7" w:rsidRPr="005C23D6" w:rsidRDefault="008E11D7" w:rsidP="008E11D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5C23D6">
              <w:rPr>
                <w:szCs w:val="22"/>
              </w:rPr>
              <w:t>Analgetické účinky se projevují do 15 minut od injekčního podání.</w:t>
            </w:r>
          </w:p>
          <w:p w14:paraId="6357AC2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se může v případě potřeby opakovat.</w:t>
            </w:r>
          </w:p>
        </w:tc>
      </w:tr>
    </w:tbl>
    <w:p w14:paraId="3B008889" w14:textId="77777777" w:rsidR="008E11D7" w:rsidRPr="005C23D6" w:rsidRDefault="008E11D7" w:rsidP="008E11D7">
      <w:pPr>
        <w:tabs>
          <w:tab w:val="clear" w:pos="567"/>
          <w:tab w:val="left" w:pos="720"/>
        </w:tabs>
        <w:spacing w:line="240" w:lineRule="auto"/>
        <w:jc w:val="both"/>
        <w:rPr>
          <w:i/>
          <w:szCs w:val="22"/>
        </w:rPr>
      </w:pPr>
    </w:p>
    <w:p w14:paraId="1E82B4A2" w14:textId="77777777" w:rsidR="008E11D7" w:rsidRPr="005C23D6" w:rsidRDefault="008E11D7" w:rsidP="008E11D7">
      <w:pPr>
        <w:tabs>
          <w:tab w:val="clear" w:pos="567"/>
          <w:tab w:val="left" w:pos="720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sedaci v kombinaci s detomidin hydrochloridem: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004"/>
        <w:gridCol w:w="2030"/>
        <w:gridCol w:w="3585"/>
      </w:tblGrid>
      <w:tr w:rsidR="008E11D7" w:rsidRPr="005C23D6" w14:paraId="59C42D1A" w14:textId="77777777" w:rsidTr="00FD12E2">
        <w:trPr>
          <w:trHeight w:val="50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85B8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lastRenderedPageBreak/>
              <w:t>Způsob podání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D32F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detomidin hydrochloridu</w:t>
            </w:r>
          </w:p>
          <w:p w14:paraId="7C5952D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D1BB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butorfanolu*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DFCB3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8E11D7" w:rsidRPr="005C23D6" w14:paraId="38F84CB1" w14:textId="77777777" w:rsidTr="00FD12E2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22A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5154285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</w:t>
            </w:r>
          </w:p>
          <w:p w14:paraId="249C981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3F902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0,012 mg/kg živé</w:t>
            </w:r>
            <w:r w:rsidRPr="005C23D6" w:rsidDel="00103681">
              <w:rPr>
                <w:color w:val="000000"/>
                <w:szCs w:val="22"/>
              </w:rPr>
              <w:t xml:space="preserve"> </w:t>
            </w:r>
            <w:r w:rsidRPr="005C23D6">
              <w:rPr>
                <w:color w:val="000000"/>
                <w:szCs w:val="22"/>
              </w:rPr>
              <w:t>hmotnosti</w:t>
            </w:r>
          </w:p>
        </w:tc>
        <w:tc>
          <w:tcPr>
            <w:tcW w:w="117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9A38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0,025 mg/kg živé hmotnosti</w:t>
            </w:r>
          </w:p>
        </w:tc>
        <w:tc>
          <w:tcPr>
            <w:tcW w:w="20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1DA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0,25 ml/100 kg živé hmotnosti</w:t>
            </w:r>
          </w:p>
        </w:tc>
      </w:tr>
      <w:tr w:rsidR="008E11D7" w:rsidRPr="005C23D6" w14:paraId="5B6BC1ED" w14:textId="77777777" w:rsidTr="00FD12E2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9C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827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Detomidin je nutno podat nejpozději 5 minut před dávkou butorfanolu.</w:t>
            </w:r>
          </w:p>
        </w:tc>
      </w:tr>
    </w:tbl>
    <w:p w14:paraId="4FFB86A0" w14:textId="77777777" w:rsidR="008E11D7" w:rsidRPr="005C23D6" w:rsidRDefault="008E11D7" w:rsidP="008E11D7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</w:p>
    <w:p w14:paraId="7F6886AE" w14:textId="77777777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* Klinické zkušenosti ukazují, že celková dávka 5 mg detomidin hydrochloridu a 10 mg butorfanolu umožňuje účinnou a bezpečnou sedaci u koní s živou hmotností nad 200 kg.</w:t>
      </w:r>
    </w:p>
    <w:p w14:paraId="6803CA41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47301FE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sedaci v kombinaci s romifidinem: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004"/>
        <w:gridCol w:w="2030"/>
        <w:gridCol w:w="3585"/>
      </w:tblGrid>
      <w:tr w:rsidR="008E11D7" w:rsidRPr="005C23D6" w14:paraId="47A64AC5" w14:textId="77777777" w:rsidTr="00FD12E2">
        <w:trPr>
          <w:trHeight w:val="50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05A11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C347D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romifidinu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6720E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butorfanolu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26A5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8E11D7" w:rsidRPr="005C23D6" w14:paraId="42979594" w14:textId="77777777" w:rsidTr="00FD12E2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4620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i.v.</w:t>
            </w:r>
          </w:p>
          <w:p w14:paraId="00821C4F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84BEA5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0,04</w:t>
            </w:r>
            <w:r w:rsidRPr="005C23D6">
              <w:rPr>
                <w:color w:val="000000"/>
                <w:szCs w:val="22"/>
              </w:rPr>
              <w:noBreakHyphen/>
              <w:t>0,12 mg/kg živé hmotnosti</w:t>
            </w:r>
          </w:p>
        </w:tc>
        <w:tc>
          <w:tcPr>
            <w:tcW w:w="117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7F67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0,02 mg/kg živé hmotnosti</w:t>
            </w:r>
          </w:p>
        </w:tc>
        <w:tc>
          <w:tcPr>
            <w:tcW w:w="20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985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0,2 ml/100 kg živé hmotnosti</w:t>
            </w:r>
          </w:p>
        </w:tc>
      </w:tr>
      <w:tr w:rsidR="008E11D7" w:rsidRPr="005C23D6" w14:paraId="276E7F56" w14:textId="77777777" w:rsidTr="00FD12E2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2349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7D2B" w14:textId="77777777" w:rsidR="008E11D7" w:rsidRPr="005C23D6" w:rsidRDefault="008E11D7" w:rsidP="008E11D7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Romifidin je nutno podat nejpozději 5 minut před dávkou butorfanolu.</w:t>
            </w:r>
          </w:p>
        </w:tc>
      </w:tr>
    </w:tbl>
    <w:p w14:paraId="5517E03B" w14:textId="77777777" w:rsidR="008E11D7" w:rsidRPr="005C23D6" w:rsidRDefault="008E11D7" w:rsidP="008E11D7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</w:p>
    <w:p w14:paraId="1002170C" w14:textId="37C5467B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Před zkombinováním tohoto </w:t>
      </w:r>
      <w:r w:rsidR="0068612D">
        <w:rPr>
          <w:szCs w:val="22"/>
        </w:rPr>
        <w:t xml:space="preserve">veterinárního léčivého </w:t>
      </w:r>
      <w:r w:rsidRPr="005C23D6">
        <w:rPr>
          <w:szCs w:val="22"/>
        </w:rPr>
        <w:t xml:space="preserve">přípravku a podáním ve stejné stříkačce s dalšími veterinárními léčivými přípravky si vždy přečtěte odstavec </w:t>
      </w:r>
      <w:r w:rsidR="00577040">
        <w:rPr>
          <w:szCs w:val="22"/>
        </w:rPr>
        <w:t>„</w:t>
      </w:r>
      <w:r w:rsidR="000F4741">
        <w:rPr>
          <w:szCs w:val="22"/>
        </w:rPr>
        <w:t>Hlavní i</w:t>
      </w:r>
      <w:r w:rsidRPr="005C23D6">
        <w:rPr>
          <w:szCs w:val="22"/>
        </w:rPr>
        <w:t>nkompatibility</w:t>
      </w:r>
      <w:r w:rsidR="00577040">
        <w:rPr>
          <w:szCs w:val="22"/>
        </w:rPr>
        <w:t>“</w:t>
      </w:r>
      <w:r w:rsidRPr="005C23D6">
        <w:rPr>
          <w:szCs w:val="22"/>
        </w:rPr>
        <w:t xml:space="preserve"> (bod </w:t>
      </w:r>
      <w:r w:rsidR="0068612D">
        <w:rPr>
          <w:szCs w:val="22"/>
        </w:rPr>
        <w:t>5</w:t>
      </w:r>
      <w:r w:rsidRPr="005C23D6">
        <w:rPr>
          <w:szCs w:val="22"/>
        </w:rPr>
        <w:t>.</w:t>
      </w:r>
      <w:r w:rsidR="0068612D">
        <w:rPr>
          <w:szCs w:val="22"/>
        </w:rPr>
        <w:t>1</w:t>
      </w:r>
      <w:r w:rsidRPr="005C23D6">
        <w:rPr>
          <w:szCs w:val="22"/>
        </w:rPr>
        <w:t>).</w:t>
      </w:r>
    </w:p>
    <w:p w14:paraId="3B3AD225" w14:textId="77777777" w:rsidR="008E11D7" w:rsidRPr="005C23D6" w:rsidRDefault="008E11D7" w:rsidP="008E11D7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Při použití jehel velikosti 21G a 23G nepřekračujte 100 propíchnutí na jednu injekční lahvičku. Při použití jehly 18G nepřekračujte 40 propíchnutí na jednu injekční lahvičku.</w:t>
      </w:r>
    </w:p>
    <w:p w14:paraId="0E5D489B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5C23D6" w:rsidRDefault="00C605FD" w:rsidP="00B13B6D">
      <w:pPr>
        <w:pStyle w:val="Style1"/>
      </w:pPr>
      <w:r w:rsidRPr="005C23D6">
        <w:t>3.10</w:t>
      </w:r>
      <w:r w:rsidRPr="005C23D6">
        <w:tab/>
        <w:t xml:space="preserve">Příznaky předávkování </w:t>
      </w:r>
      <w:r w:rsidR="00EC5045" w:rsidRPr="005C23D6">
        <w:t>(</w:t>
      </w:r>
      <w:r w:rsidRPr="005C23D6">
        <w:t xml:space="preserve">a </w:t>
      </w:r>
      <w:r w:rsidR="00202A85" w:rsidRPr="005C23D6">
        <w:t>kde</w:t>
      </w:r>
      <w:r w:rsidR="005E66FC" w:rsidRPr="005C23D6">
        <w:t xml:space="preserve"> </w:t>
      </w:r>
      <w:r w:rsidR="00202A85" w:rsidRPr="005C23D6">
        <w:t>je</w:t>
      </w:r>
      <w:r w:rsidR="005E66FC" w:rsidRPr="005C23D6">
        <w:t xml:space="preserve"> </w:t>
      </w:r>
      <w:r w:rsidR="00FB6F2F" w:rsidRPr="005C23D6">
        <w:t>relevantní</w:t>
      </w:r>
      <w:r w:rsidR="00202A85" w:rsidRPr="005C23D6">
        <w:t>, první pomoc</w:t>
      </w:r>
      <w:r w:rsidRPr="005C23D6">
        <w:t xml:space="preserve"> a antidota</w:t>
      </w:r>
      <w:r w:rsidR="00202A85" w:rsidRPr="005C23D6">
        <w:t>)</w:t>
      </w:r>
      <w:r w:rsidRPr="005C23D6">
        <w:t xml:space="preserve"> </w:t>
      </w:r>
    </w:p>
    <w:p w14:paraId="45A3465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A2D6AB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Hlavním příznakem předávkování je respirační deprese, kterou lze upravit naloxonem. </w:t>
      </w:r>
    </w:p>
    <w:p w14:paraId="4C124872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720D96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Pro odstranění sedativního účinku kombinací butorfanolu a agonistů alfa-2 adrenoreceptorů lze použít atipamezol. Pro odstranění nežádoucích kardiopulmonálních účinků těchto kombinací mohou být zapotřebí vyšší dávky atipamezolu. Atipamezol by se neměl podávat psům léčeným kombinací butorfanolu, medetomidinu a ketaminu aplikovanou intramuskulárně za účelem anestezie.</w:t>
      </w:r>
    </w:p>
    <w:p w14:paraId="56801AF8" w14:textId="77777777" w:rsidR="008E11D7" w:rsidRPr="005C23D6" w:rsidRDefault="008E11D7" w:rsidP="008E11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K dalším možným příznakům předávkování u koní patří neklid, resp. předrážděnost, svalový třes, ataxie, hypersalivace, snížení gastrointestinální motility a záchvaty. U koček jsou hlavními příznaky předávkování porucha koordinace, salivace a mírné křeče.</w:t>
      </w:r>
    </w:p>
    <w:p w14:paraId="54C2FBB6" w14:textId="77777777" w:rsidR="006764C6" w:rsidRPr="005C23D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5C23D6" w:rsidRDefault="00C605FD" w:rsidP="00B13B6D">
      <w:pPr>
        <w:pStyle w:val="Style1"/>
      </w:pPr>
      <w:r w:rsidRPr="005C23D6">
        <w:t>3.11</w:t>
      </w:r>
      <w:r w:rsidRPr="005C23D6">
        <w:tab/>
        <w:t>Zvláštní omezení pro použití a zvláštní podmínky pro použití, včetně omezení používání antimikrob</w:t>
      </w:r>
      <w:r w:rsidR="00202A85" w:rsidRPr="005C23D6">
        <w:t>ních</w:t>
      </w:r>
      <w:r w:rsidRPr="005C23D6">
        <w:t xml:space="preserve"> a antiparazitárních veterinárních léčivých přípravků, za účelem snížení rizika rozvoje rezistence</w:t>
      </w:r>
    </w:p>
    <w:p w14:paraId="1204C42F" w14:textId="431F8DC1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8E00FA" w14:textId="4DEAC1AD" w:rsidR="00577040" w:rsidRPr="005C23D6" w:rsidRDefault="005770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5C23D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5C23D6" w:rsidRDefault="00C605FD" w:rsidP="00B13B6D">
      <w:pPr>
        <w:pStyle w:val="Style1"/>
      </w:pPr>
      <w:r w:rsidRPr="005C23D6">
        <w:t>3.12</w:t>
      </w:r>
      <w:r w:rsidRPr="005C23D6">
        <w:tab/>
        <w:t>Ochranné lhůty</w:t>
      </w:r>
    </w:p>
    <w:p w14:paraId="2DC95067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7E8A14" w14:textId="262D9BB3" w:rsidR="008E11D7" w:rsidRPr="005C23D6" w:rsidRDefault="008E11D7" w:rsidP="008E11D7">
      <w:pPr>
        <w:tabs>
          <w:tab w:val="clear" w:pos="567"/>
        </w:tabs>
        <w:spacing w:line="240" w:lineRule="auto"/>
        <w:rPr>
          <w:bCs/>
          <w:szCs w:val="22"/>
        </w:rPr>
      </w:pPr>
      <w:r w:rsidRPr="005C23D6">
        <w:rPr>
          <w:szCs w:val="22"/>
        </w:rPr>
        <w:t>Maso: Bez ochranných lhůt.</w:t>
      </w:r>
    </w:p>
    <w:p w14:paraId="2483EFCB" w14:textId="77777777" w:rsidR="008E11D7" w:rsidRPr="005C23D6" w:rsidRDefault="008E11D7" w:rsidP="008E11D7">
      <w:pPr>
        <w:tabs>
          <w:tab w:val="clear" w:pos="567"/>
        </w:tabs>
        <w:spacing w:line="240" w:lineRule="auto"/>
        <w:rPr>
          <w:bCs/>
          <w:szCs w:val="22"/>
        </w:rPr>
      </w:pPr>
      <w:r w:rsidRPr="005C23D6">
        <w:rPr>
          <w:szCs w:val="22"/>
        </w:rPr>
        <w:t>Nepoužívat u klisen, jejichž mléko je určeno pro lidskou spotřebu.</w:t>
      </w:r>
    </w:p>
    <w:p w14:paraId="1A1B55BD" w14:textId="77777777" w:rsidR="00FC02F3" w:rsidRPr="005C23D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5C23D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5C23D6" w:rsidRDefault="00C605FD" w:rsidP="00CE2226">
      <w:pPr>
        <w:pStyle w:val="Style1"/>
        <w:keepNext/>
      </w:pPr>
      <w:r w:rsidRPr="005C23D6">
        <w:t>4.</w:t>
      </w:r>
      <w:r w:rsidRPr="005C23D6">
        <w:tab/>
        <w:t>FARMAKOLOGICKÉ INFORMACE</w:t>
      </w:r>
    </w:p>
    <w:p w14:paraId="2C2A4C50" w14:textId="77777777" w:rsidR="00C114FF" w:rsidRPr="005C23D6" w:rsidRDefault="00C114FF" w:rsidP="00CE222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235B60DF" w:rsidR="00C114FF" w:rsidRPr="005C23D6" w:rsidRDefault="00C605FD" w:rsidP="00CE2226">
      <w:pPr>
        <w:pStyle w:val="Style1"/>
        <w:keepNext/>
        <w:rPr>
          <w:b w:val="0"/>
          <w:bCs/>
        </w:rPr>
      </w:pPr>
      <w:r w:rsidRPr="005C23D6">
        <w:t>4.1</w:t>
      </w:r>
      <w:r w:rsidRPr="005C23D6">
        <w:tab/>
        <w:t>ATCvet kód:</w:t>
      </w:r>
      <w:r w:rsidR="008E11D7" w:rsidRPr="005C23D6">
        <w:t xml:space="preserve"> </w:t>
      </w:r>
      <w:r w:rsidR="008E11D7" w:rsidRPr="005C23D6">
        <w:rPr>
          <w:b w:val="0"/>
          <w:bCs/>
        </w:rPr>
        <w:t>QN02AF01</w:t>
      </w:r>
    </w:p>
    <w:p w14:paraId="31D49A70" w14:textId="77777777" w:rsidR="0091648F" w:rsidRPr="005C23D6" w:rsidRDefault="0091648F" w:rsidP="00CE222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5C23D6" w:rsidRDefault="00C605FD" w:rsidP="00CE2226">
      <w:pPr>
        <w:pStyle w:val="Style1"/>
        <w:keepNext/>
      </w:pPr>
      <w:r w:rsidRPr="005C23D6">
        <w:t>4.2</w:t>
      </w:r>
      <w:r w:rsidRPr="005C23D6">
        <w:tab/>
        <w:t>Farmakodynamika</w:t>
      </w:r>
    </w:p>
    <w:p w14:paraId="50FA42E3" w14:textId="77777777" w:rsidR="00C114FF" w:rsidRPr="005C23D6" w:rsidRDefault="00C114FF" w:rsidP="00CE222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E1627AD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Butorfanol je centrálně působící opioidní analgetikum s agonisticko-antagonistickým účinkem na receptory opiátů v centrálním nervovém systému. Aktivace opioidních receptorů je spojena se změnami </w:t>
      </w:r>
      <w:r w:rsidRPr="005C23D6">
        <w:rPr>
          <w:szCs w:val="22"/>
        </w:rPr>
        <w:lastRenderedPageBreak/>
        <w:t xml:space="preserve">vodivosti iontů a interakcemi G proteinů, které vedou k inhibici přenosu bolesti. Butorfanol má agonistický účinek u subtypu opioidních receptorů kappa (κ) a antagonistický účinek u subtypu opioidních receptorů mí (µ). Agonistická složka účinku butorfanolu je desetkrát silnější než složka antagonistická. </w:t>
      </w:r>
    </w:p>
    <w:p w14:paraId="32FD1F3F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C23D6">
        <w:rPr>
          <w:szCs w:val="22"/>
        </w:rPr>
        <w:t>Samostatně použitý butorfanol zajišťuje analgezii závislou na dávce a může také způsobit sedaci (u koní a psů). Butorfanol v kombinaci s některými agonisty alfa-2 adrenoreceptorů navozuje hlubokou sedaci a v kombinaci s některými agonisty alfa-2 adrenoreceptorů a ketaminem navozuje anestezii.</w:t>
      </w:r>
    </w:p>
    <w:p w14:paraId="33A4700E" w14:textId="77777777" w:rsidR="008E11D7" w:rsidRPr="00B4167F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B4167F">
        <w:rPr>
          <w:szCs w:val="22"/>
          <w:u w:val="single"/>
        </w:rPr>
        <w:t>Nástup účinku a trvání analgezie:</w:t>
      </w:r>
    </w:p>
    <w:p w14:paraId="466B9D75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</w:rPr>
      </w:pPr>
      <w:r w:rsidRPr="005C23D6">
        <w:rPr>
          <w:szCs w:val="22"/>
        </w:rPr>
        <w:t>Analgezie obecně nastupuje do 15 minut od intravenózního podání. U koně po jednorázovém intravenózním podání dávky trvá analgezie obvykle 15</w:t>
      </w:r>
      <w:r w:rsidRPr="005C23D6">
        <w:rPr>
          <w:szCs w:val="22"/>
        </w:rPr>
        <w:noBreakHyphen/>
        <w:t xml:space="preserve">60 minut. </w:t>
      </w:r>
    </w:p>
    <w:p w14:paraId="52400260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5C23D6" w:rsidRDefault="00C605FD" w:rsidP="00B13B6D">
      <w:pPr>
        <w:pStyle w:val="Style1"/>
      </w:pPr>
      <w:r w:rsidRPr="005C23D6">
        <w:t>4.3</w:t>
      </w:r>
      <w:r w:rsidRPr="005C23D6">
        <w:tab/>
        <w:t>Farmakokinetika</w:t>
      </w:r>
    </w:p>
    <w:p w14:paraId="041767D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A91F2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C23D6">
        <w:rPr>
          <w:szCs w:val="22"/>
        </w:rPr>
        <w:t>Distribuční objem po intravenózním podání je velký, z čehož lze usoudit, že se přípravek ve velké míře distribuuje do tkání. Distribuční objem je 7,4 l/kg u koček a 4,4 l/kg u psů. Butorfanol je extenzivně metabolizován v játrech a vylučován především močí.</w:t>
      </w:r>
    </w:p>
    <w:p w14:paraId="323DA1FE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017C6624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C23D6">
        <w:rPr>
          <w:szCs w:val="22"/>
        </w:rPr>
        <w:t>U koní má butorfanol po intravenózním podání vysokou clearance (v průměru 1,3 l/kg/hod) a krátký biologický poločas (střední hodnota &lt;1 hodina). To znamená, že v průměru 97 % intravenózní dávky je eliminováno za méně než 5 hodin.</w:t>
      </w:r>
    </w:p>
    <w:p w14:paraId="1C6736E4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EB18B11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U psů má butorfanol po intramuskulárním podání vysokou clearance (asi 3,5 l/kg/hod) a krátký biologický poločas (střední hodnota &lt;2 hodiny). To znamená, že v průměru 97 % intramuskulární dávky je eliminováno za méně než 10 hodin. </w:t>
      </w:r>
    </w:p>
    <w:p w14:paraId="3C30E008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A0F74C3" w14:textId="77777777" w:rsidR="008E11D7" w:rsidRPr="005C23D6" w:rsidRDefault="008E11D7" w:rsidP="008E11D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5C23D6">
        <w:rPr>
          <w:szCs w:val="22"/>
        </w:rPr>
        <w:t>U koček má butorfanol po subkutánním podání poměrně dlouhý biologický poločas (asi 6 hodin). To znamená, že v průměru 97 % subkutánní dávky je eliminováno přibližně za 30 hodin.</w:t>
      </w:r>
    </w:p>
    <w:p w14:paraId="0A06DF6E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5C23D6" w:rsidRDefault="00C605FD" w:rsidP="00B13B6D">
      <w:pPr>
        <w:pStyle w:val="Style1"/>
      </w:pPr>
      <w:r w:rsidRPr="005C23D6">
        <w:t>5.</w:t>
      </w:r>
      <w:r w:rsidRPr="005C23D6">
        <w:tab/>
        <w:t>FARMACEUTICKÉ ÚDAJE</w:t>
      </w:r>
    </w:p>
    <w:p w14:paraId="7BC5375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5C23D6" w:rsidRDefault="00C605FD" w:rsidP="00B13B6D">
      <w:pPr>
        <w:pStyle w:val="Style1"/>
      </w:pPr>
      <w:r w:rsidRPr="005C23D6">
        <w:t>5.1</w:t>
      </w:r>
      <w:r w:rsidRPr="005C23D6">
        <w:tab/>
        <w:t>Hlavní inkompatibility</w:t>
      </w:r>
    </w:p>
    <w:p w14:paraId="15C29130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481009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Butorfanol nesmí být mísen s jinými veterinárními léčivými přípravky ve stejné stříkačce, vyjma následujících kombinací:</w:t>
      </w:r>
    </w:p>
    <w:p w14:paraId="239C27AD" w14:textId="77777777" w:rsidR="00466378" w:rsidRPr="005C23D6" w:rsidRDefault="00466378" w:rsidP="00466378">
      <w:pPr>
        <w:numPr>
          <w:ilvl w:val="0"/>
          <w:numId w:val="44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butorfanol/medetomidin</w:t>
      </w:r>
    </w:p>
    <w:p w14:paraId="38AADBCF" w14:textId="77777777" w:rsidR="00466378" w:rsidRPr="005C23D6" w:rsidRDefault="00466378" w:rsidP="00466378">
      <w:pPr>
        <w:numPr>
          <w:ilvl w:val="0"/>
          <w:numId w:val="44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butorfanol/medetomidin/ketamin</w:t>
      </w:r>
    </w:p>
    <w:p w14:paraId="0DBF6460" w14:textId="77777777" w:rsidR="00466378" w:rsidRPr="005C23D6" w:rsidRDefault="00466378" w:rsidP="00466378">
      <w:pPr>
        <w:numPr>
          <w:ilvl w:val="0"/>
          <w:numId w:val="44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butorfanol/acepromazin</w:t>
      </w:r>
    </w:p>
    <w:p w14:paraId="288F0D5C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5C23D6" w:rsidRDefault="00C605FD" w:rsidP="00B13B6D">
      <w:pPr>
        <w:pStyle w:val="Style1"/>
      </w:pPr>
      <w:r w:rsidRPr="005C23D6">
        <w:t>5.2</w:t>
      </w:r>
      <w:r w:rsidRPr="005C23D6">
        <w:tab/>
        <w:t>Doba použitelnosti</w:t>
      </w:r>
    </w:p>
    <w:p w14:paraId="100B6613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A74AC" w14:textId="77777777" w:rsidR="00466378" w:rsidRPr="005C23D6" w:rsidRDefault="00466378" w:rsidP="00466378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5C23D6">
        <w:rPr>
          <w:szCs w:val="22"/>
        </w:rPr>
        <w:t>Doba použitelnosti veterinárního léčivého přípravku v neporušeném obalu: 3 roky.</w:t>
      </w:r>
    </w:p>
    <w:p w14:paraId="252AD376" w14:textId="77777777" w:rsidR="00466378" w:rsidRPr="005C23D6" w:rsidRDefault="00466378" w:rsidP="00466378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5C23D6">
        <w:rPr>
          <w:szCs w:val="22"/>
        </w:rPr>
        <w:t>Doba použitelnosti po prvním otevření vnitřního obalu: 28 dnů.</w:t>
      </w:r>
    </w:p>
    <w:p w14:paraId="4CD9C987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5C23D6" w:rsidRDefault="00C605FD" w:rsidP="00B13B6D">
      <w:pPr>
        <w:pStyle w:val="Style1"/>
      </w:pPr>
      <w:r w:rsidRPr="005C23D6">
        <w:t>5.3</w:t>
      </w:r>
      <w:r w:rsidRPr="005C23D6">
        <w:tab/>
        <w:t>Zvláštní opatření pro uchovávání</w:t>
      </w:r>
    </w:p>
    <w:p w14:paraId="7826F268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3B002D" w14:textId="77777777" w:rsidR="00466378" w:rsidRPr="005C23D6" w:rsidRDefault="00466378" w:rsidP="00466378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Tento veterinární léčivý přípravek nevyžaduje žádné zvláštní podmínky uchovávání.</w:t>
      </w:r>
    </w:p>
    <w:p w14:paraId="205A4A8C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5C23D6" w:rsidRDefault="00C605FD" w:rsidP="00B13B6D">
      <w:pPr>
        <w:pStyle w:val="Style1"/>
      </w:pPr>
      <w:r w:rsidRPr="005C23D6">
        <w:t>5.4</w:t>
      </w:r>
      <w:r w:rsidRPr="005C23D6">
        <w:tab/>
        <w:t>Druh a složení vnitřního obalu</w:t>
      </w:r>
    </w:p>
    <w:p w14:paraId="3EB26241" w14:textId="77777777" w:rsidR="00C114FF" w:rsidRPr="005C23D6" w:rsidRDefault="00C114FF" w:rsidP="005E66FC">
      <w:pPr>
        <w:pStyle w:val="Style1"/>
      </w:pPr>
    </w:p>
    <w:p w14:paraId="1C3ACE2F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Skleněné injekční lahvičky z čirého skla typu I uzavřené zátkou z potažené bromobutylové pryže a s hliníkovým víčkem v papírové krabičce. </w:t>
      </w:r>
    </w:p>
    <w:p w14:paraId="17049DD8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Velikost balení: 10 ml a 20 ml.</w:t>
      </w:r>
    </w:p>
    <w:p w14:paraId="272826DC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679306" w14:textId="77777777" w:rsidR="00466378" w:rsidRPr="005C23D6" w:rsidRDefault="00466378" w:rsidP="00466378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Na trhu nemusí být všechny velikosti balení.</w:t>
      </w:r>
    </w:p>
    <w:p w14:paraId="227DFA06" w14:textId="77777777" w:rsidR="0091648F" w:rsidRPr="005C23D6" w:rsidRDefault="0091648F" w:rsidP="00A9226B">
      <w:pPr>
        <w:tabs>
          <w:tab w:val="clear" w:pos="567"/>
        </w:tabs>
        <w:spacing w:line="240" w:lineRule="auto"/>
      </w:pPr>
    </w:p>
    <w:p w14:paraId="580835CC" w14:textId="74323501" w:rsidR="00C114FF" w:rsidRPr="005C23D6" w:rsidRDefault="00C605FD" w:rsidP="00CE2226">
      <w:pPr>
        <w:pStyle w:val="Style1"/>
        <w:keepNext/>
      </w:pPr>
      <w:r w:rsidRPr="005C23D6">
        <w:lastRenderedPageBreak/>
        <w:t>5.5</w:t>
      </w:r>
      <w:r w:rsidRPr="005C23D6">
        <w:tab/>
        <w:t xml:space="preserve">Zvláštní opatření pro </w:t>
      </w:r>
      <w:r w:rsidR="00CF069C" w:rsidRPr="005C23D6">
        <w:t xml:space="preserve">likvidaci </w:t>
      </w:r>
      <w:r w:rsidRPr="005C23D6">
        <w:t>nepoužit</w:t>
      </w:r>
      <w:r w:rsidR="002F64C6" w:rsidRPr="005C23D6">
        <w:t>ých</w:t>
      </w:r>
      <w:r w:rsidR="00905CAB" w:rsidRPr="005C23D6">
        <w:t xml:space="preserve"> </w:t>
      </w:r>
      <w:r w:rsidRPr="005C23D6">
        <w:t>veterinární</w:t>
      </w:r>
      <w:r w:rsidR="002F64C6" w:rsidRPr="005C23D6">
        <w:t>ch</w:t>
      </w:r>
      <w:r w:rsidRPr="005C23D6">
        <w:t xml:space="preserve"> léčiv</w:t>
      </w:r>
      <w:r w:rsidR="002F64C6" w:rsidRPr="005C23D6">
        <w:t>ých</w:t>
      </w:r>
      <w:r w:rsidRPr="005C23D6">
        <w:t xml:space="preserve"> přípravk</w:t>
      </w:r>
      <w:r w:rsidR="002F64C6" w:rsidRPr="005C23D6">
        <w:t>ů</w:t>
      </w:r>
      <w:r w:rsidRPr="005C23D6">
        <w:t xml:space="preserve"> nebo odpad</w:t>
      </w:r>
      <w:r w:rsidR="00F84AED" w:rsidRPr="005C23D6">
        <w:t>ů</w:t>
      </w:r>
      <w:r w:rsidR="00B36E65" w:rsidRPr="005C23D6">
        <w:t>, kter</w:t>
      </w:r>
      <w:r w:rsidR="00F84AED" w:rsidRPr="005C23D6">
        <w:t>é</w:t>
      </w:r>
      <w:r w:rsidRPr="005C23D6">
        <w:t xml:space="preserve"> pocház</w:t>
      </w:r>
      <w:r w:rsidR="00B36E65" w:rsidRPr="005C23D6">
        <w:t>í</w:t>
      </w:r>
      <w:r w:rsidRPr="005C23D6">
        <w:t xml:space="preserve"> z</w:t>
      </w:r>
      <w:r w:rsidR="002F64C6" w:rsidRPr="005C23D6">
        <w:t> </w:t>
      </w:r>
      <w:r w:rsidRPr="005C23D6">
        <w:t>t</w:t>
      </w:r>
      <w:r w:rsidR="002F64C6" w:rsidRPr="005C23D6">
        <w:t xml:space="preserve">ěchto </w:t>
      </w:r>
      <w:r w:rsidRPr="005C23D6">
        <w:t>přípravk</w:t>
      </w:r>
      <w:r w:rsidR="002F64C6" w:rsidRPr="005C23D6">
        <w:t>ů</w:t>
      </w:r>
    </w:p>
    <w:p w14:paraId="1C255593" w14:textId="676453A0" w:rsidR="00466378" w:rsidRDefault="00466378" w:rsidP="00CE2226">
      <w:pPr>
        <w:keepNext/>
        <w:rPr>
          <w:szCs w:val="22"/>
        </w:rPr>
      </w:pPr>
    </w:p>
    <w:p w14:paraId="62F45B46" w14:textId="6DEFF893" w:rsidR="001B146F" w:rsidRPr="005C23D6" w:rsidRDefault="001B146F" w:rsidP="001B146F">
      <w:pPr>
        <w:rPr>
          <w:szCs w:val="22"/>
        </w:rPr>
      </w:pPr>
      <w:r w:rsidRPr="005C23D6">
        <w:t>Léčivé přípravky se nesmí likvidovat prostřednictvím odpadní vody či domovního odpadu.</w:t>
      </w:r>
    </w:p>
    <w:p w14:paraId="535E8596" w14:textId="77777777" w:rsidR="001B146F" w:rsidRPr="005C23D6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5C23D6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5C23D6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AFC848" w14:textId="77777777" w:rsidR="00466378" w:rsidRPr="005C23D6" w:rsidRDefault="004663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5C23D6" w:rsidRDefault="00C605FD" w:rsidP="00B13B6D">
      <w:pPr>
        <w:pStyle w:val="Style1"/>
      </w:pPr>
      <w:r w:rsidRPr="005C23D6">
        <w:t>6.</w:t>
      </w:r>
      <w:r w:rsidRPr="005C23D6">
        <w:tab/>
        <w:t>JMÉNO DRŽITELE ROZHODNUTÍ O REGISTRACI</w:t>
      </w:r>
    </w:p>
    <w:p w14:paraId="2E652F1A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DEE8BF" w14:textId="7BD0C6DD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Le Vet</w:t>
      </w:r>
      <w:r w:rsidR="00131680">
        <w:rPr>
          <w:szCs w:val="22"/>
        </w:rPr>
        <w:t>.</w:t>
      </w:r>
      <w:r w:rsidRPr="005C23D6">
        <w:rPr>
          <w:szCs w:val="22"/>
        </w:rPr>
        <w:t xml:space="preserve"> Beheer B.V.</w:t>
      </w:r>
    </w:p>
    <w:p w14:paraId="020E9076" w14:textId="77777777" w:rsidR="006764C6" w:rsidRPr="005C23D6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5C23D6" w:rsidRDefault="00C605FD" w:rsidP="00B13B6D">
      <w:pPr>
        <w:pStyle w:val="Style1"/>
      </w:pPr>
      <w:r w:rsidRPr="005C23D6">
        <w:t>7.</w:t>
      </w:r>
      <w:r w:rsidRPr="005C23D6">
        <w:tab/>
        <w:t>REGISTRAČNÍ ČÍSLO(A)</w:t>
      </w:r>
    </w:p>
    <w:p w14:paraId="1FA2C56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4D9F2" w14:textId="77777777" w:rsidR="00466378" w:rsidRPr="005C23D6" w:rsidRDefault="00466378" w:rsidP="00466378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96/097/</w:t>
      </w:r>
      <w:proofErr w:type="gramStart"/>
      <w:r w:rsidRPr="005C23D6">
        <w:rPr>
          <w:szCs w:val="22"/>
        </w:rPr>
        <w:t>16-C</w:t>
      </w:r>
      <w:proofErr w:type="gramEnd"/>
    </w:p>
    <w:p w14:paraId="427D05E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5C23D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5C23D6" w:rsidRDefault="00C605FD" w:rsidP="00B13B6D">
      <w:pPr>
        <w:pStyle w:val="Style1"/>
      </w:pPr>
      <w:r w:rsidRPr="005C23D6">
        <w:t>8.</w:t>
      </w:r>
      <w:r w:rsidRPr="005C23D6">
        <w:tab/>
        <w:t>DATUM PRVNÍ REGISTRACE</w:t>
      </w:r>
    </w:p>
    <w:p w14:paraId="3863C57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5BC81" w14:textId="50F8683B" w:rsidR="0091648F" w:rsidRPr="005C23D6" w:rsidRDefault="00613DA8" w:rsidP="00A9226B">
      <w:pPr>
        <w:tabs>
          <w:tab w:val="clear" w:pos="567"/>
        </w:tabs>
        <w:spacing w:line="240" w:lineRule="auto"/>
        <w:rPr>
          <w:szCs w:val="22"/>
        </w:rPr>
      </w:pPr>
      <w:r w:rsidRPr="005C23D6">
        <w:t>Datum první registrace:</w:t>
      </w:r>
      <w:r w:rsidR="00466378" w:rsidRPr="005C23D6">
        <w:t xml:space="preserve"> </w:t>
      </w:r>
      <w:r w:rsidR="00466378" w:rsidRPr="005C23D6">
        <w:rPr>
          <w:szCs w:val="22"/>
        </w:rPr>
        <w:t>10. 11. 2016</w:t>
      </w:r>
    </w:p>
    <w:p w14:paraId="669AE9C0" w14:textId="77777777" w:rsidR="00D65777" w:rsidRPr="005C23D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5C23D6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5C23D6" w:rsidRDefault="00C605FD" w:rsidP="00B13B6D">
      <w:pPr>
        <w:pStyle w:val="Style1"/>
      </w:pPr>
      <w:r w:rsidRPr="005C23D6">
        <w:t>9.</w:t>
      </w:r>
      <w:r w:rsidRPr="005C23D6">
        <w:tab/>
        <w:t>DATUM POSLEDNÍ AKTUALIZACE SOUHRNU ÚDAJŮ O PŘÍPRAVKU</w:t>
      </w:r>
    </w:p>
    <w:p w14:paraId="30326986" w14:textId="77777777" w:rsidR="00C114FF" w:rsidRPr="005C23D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85D13E" w14:textId="2477E440" w:rsidR="00466378" w:rsidRDefault="00577040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06/2025</w:t>
      </w:r>
    </w:p>
    <w:p w14:paraId="267C392D" w14:textId="77777777" w:rsidR="008804DA" w:rsidRPr="005C23D6" w:rsidRDefault="008804DA" w:rsidP="0046637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bookmarkStart w:id="11" w:name="_GoBack"/>
      <w:bookmarkEnd w:id="11"/>
    </w:p>
    <w:p w14:paraId="2DB0E157" w14:textId="77777777" w:rsidR="00B113B9" w:rsidRPr="005C23D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5C23D6" w:rsidRDefault="00C605FD" w:rsidP="00B13B6D">
      <w:pPr>
        <w:pStyle w:val="Style1"/>
      </w:pPr>
      <w:r w:rsidRPr="005C23D6">
        <w:t>10.</w:t>
      </w:r>
      <w:r w:rsidRPr="005C23D6">
        <w:tab/>
        <w:t>KLASIFIKACE VETERINÁRNÍCH LÉČIVÝCH PŘÍPRAVKŮ</w:t>
      </w:r>
    </w:p>
    <w:p w14:paraId="1F12B426" w14:textId="77777777" w:rsidR="0078538F" w:rsidRPr="005C23D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Pr="005C23D6" w:rsidRDefault="00613DA8" w:rsidP="00A9226B">
      <w:pPr>
        <w:tabs>
          <w:tab w:val="clear" w:pos="567"/>
        </w:tabs>
        <w:spacing w:line="240" w:lineRule="auto"/>
      </w:pPr>
      <w:r w:rsidRPr="005C23D6">
        <w:t>Veterinární léčivý přípravek je vydáván pouze na předpis.</w:t>
      </w:r>
    </w:p>
    <w:p w14:paraId="06E80E8A" w14:textId="77777777" w:rsidR="00613DA8" w:rsidRPr="005C23D6" w:rsidRDefault="00613DA8" w:rsidP="00A9226B">
      <w:pPr>
        <w:tabs>
          <w:tab w:val="clear" w:pos="567"/>
        </w:tabs>
        <w:spacing w:line="240" w:lineRule="auto"/>
      </w:pPr>
    </w:p>
    <w:p w14:paraId="7B901385" w14:textId="77777777" w:rsidR="00613DA8" w:rsidRDefault="00613DA8" w:rsidP="00613DA8">
      <w:pPr>
        <w:ind w:right="-318"/>
        <w:rPr>
          <w:i/>
          <w:szCs w:val="22"/>
        </w:rPr>
      </w:pPr>
      <w:bookmarkStart w:id="12" w:name="_Hlk73467306"/>
      <w:r w:rsidRPr="005C23D6">
        <w:t xml:space="preserve">Podrobné informace o tomto veterinárním léčivém přípravku jsou k dispozici v databázi přípravků Unie </w:t>
      </w:r>
      <w:r w:rsidRPr="005C23D6">
        <w:rPr>
          <w:szCs w:val="22"/>
        </w:rPr>
        <w:t>(</w:t>
      </w:r>
      <w:hyperlink r:id="rId8" w:history="1">
        <w:r w:rsidRPr="005C23D6">
          <w:rPr>
            <w:rStyle w:val="Hypertextovodkaz"/>
            <w:szCs w:val="22"/>
          </w:rPr>
          <w:t>https://medicines.health.europa.eu/veterinary</w:t>
        </w:r>
      </w:hyperlink>
      <w:r w:rsidRPr="005C23D6">
        <w:rPr>
          <w:szCs w:val="22"/>
        </w:rPr>
        <w:t>)</w:t>
      </w:r>
      <w:r w:rsidRPr="005C23D6">
        <w:rPr>
          <w:i/>
          <w:szCs w:val="22"/>
        </w:rPr>
        <w:t>.</w:t>
      </w:r>
    </w:p>
    <w:p w14:paraId="59EF60A0" w14:textId="77777777" w:rsidR="00D02D40" w:rsidRDefault="00D02D40" w:rsidP="00613DA8">
      <w:pPr>
        <w:ind w:right="-318"/>
        <w:rPr>
          <w:i/>
          <w:szCs w:val="22"/>
        </w:rPr>
      </w:pPr>
    </w:p>
    <w:p w14:paraId="1AA40463" w14:textId="77777777" w:rsidR="00D02D40" w:rsidRDefault="00D02D40" w:rsidP="00D02D40">
      <w:pPr>
        <w:spacing w:line="240" w:lineRule="auto"/>
        <w:jc w:val="both"/>
      </w:pPr>
      <w:bookmarkStart w:id="13" w:name="_Hlk148432335"/>
      <w:r>
        <w:t>Podrobné informace o tomto veterinárním léčivém přípravku naleznete také v 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  <w:bookmarkEnd w:id="13"/>
    </w:p>
    <w:p w14:paraId="58A1ED23" w14:textId="77777777" w:rsidR="00D02D40" w:rsidRPr="005C23D6" w:rsidRDefault="00D02D40" w:rsidP="00613DA8">
      <w:pPr>
        <w:ind w:right="-318"/>
        <w:rPr>
          <w:szCs w:val="22"/>
        </w:rPr>
      </w:pPr>
    </w:p>
    <w:bookmarkEnd w:id="12"/>
    <w:p w14:paraId="2873BFC1" w14:textId="77777777" w:rsidR="00613DA8" w:rsidRPr="005C23D6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13DA8" w:rsidRPr="005C23D6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BC2F" w14:textId="77777777" w:rsidR="003628C9" w:rsidRDefault="003628C9">
      <w:pPr>
        <w:spacing w:line="240" w:lineRule="auto"/>
      </w:pPr>
      <w:r>
        <w:separator/>
      </w:r>
    </w:p>
  </w:endnote>
  <w:endnote w:type="continuationSeparator" w:id="0">
    <w:p w14:paraId="5D6493EA" w14:textId="77777777" w:rsidR="003628C9" w:rsidRDefault="00362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22140" w14:textId="77777777" w:rsidR="00E27FA4" w:rsidRDefault="00E27F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85287" w:rsidRPr="00E0068C" w:rsidRDefault="00A852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85287" w:rsidRPr="00E0068C" w:rsidRDefault="00A852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B950" w14:textId="77777777" w:rsidR="003628C9" w:rsidRDefault="003628C9">
      <w:pPr>
        <w:spacing w:line="240" w:lineRule="auto"/>
      </w:pPr>
      <w:r>
        <w:separator/>
      </w:r>
    </w:p>
  </w:footnote>
  <w:footnote w:type="continuationSeparator" w:id="0">
    <w:p w14:paraId="0AA0D33C" w14:textId="77777777" w:rsidR="003628C9" w:rsidRDefault="00362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FC172" w14:textId="77777777" w:rsidR="00E27FA4" w:rsidRDefault="00E27F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602A" w14:textId="1907DE94" w:rsidR="00A85287" w:rsidRDefault="00A852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12EC" w14:textId="77777777" w:rsidR="00E27FA4" w:rsidRDefault="00E27F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89851AB"/>
    <w:multiLevelType w:val="hybridMultilevel"/>
    <w:tmpl w:val="395E21F8"/>
    <w:lvl w:ilvl="0" w:tplc="8040BB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9B81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0D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88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CD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83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6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E6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661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93B32B3"/>
    <w:multiLevelType w:val="hybridMultilevel"/>
    <w:tmpl w:val="EB64DA84"/>
    <w:lvl w:ilvl="0" w:tplc="09FA1B1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C46C0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00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6D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EC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CC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F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AD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E8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24E434D"/>
    <w:multiLevelType w:val="hybridMultilevel"/>
    <w:tmpl w:val="96A6F1D4"/>
    <w:lvl w:ilvl="0" w:tplc="CBA076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846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CF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23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0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8D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C0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89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E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1903A8"/>
    <w:multiLevelType w:val="hybridMultilevel"/>
    <w:tmpl w:val="E018A536"/>
    <w:lvl w:ilvl="0" w:tplc="C83C2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2CE8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5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85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8C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C6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48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6"/>
  </w:num>
  <w:num w:numId="6">
    <w:abstractNumId w:val="28"/>
  </w:num>
  <w:num w:numId="7">
    <w:abstractNumId w:val="23"/>
  </w:num>
  <w:num w:numId="8">
    <w:abstractNumId w:val="11"/>
  </w:num>
  <w:num w:numId="9">
    <w:abstractNumId w:val="34"/>
  </w:num>
  <w:num w:numId="10">
    <w:abstractNumId w:val="35"/>
  </w:num>
  <w:num w:numId="11">
    <w:abstractNumId w:val="18"/>
  </w:num>
  <w:num w:numId="12">
    <w:abstractNumId w:val="17"/>
  </w:num>
  <w:num w:numId="13">
    <w:abstractNumId w:val="3"/>
  </w:num>
  <w:num w:numId="14">
    <w:abstractNumId w:val="33"/>
  </w:num>
  <w:num w:numId="15">
    <w:abstractNumId w:val="21"/>
  </w:num>
  <w:num w:numId="16">
    <w:abstractNumId w:val="38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9"/>
  </w:num>
  <w:num w:numId="22">
    <w:abstractNumId w:val="30"/>
  </w:num>
  <w:num w:numId="23">
    <w:abstractNumId w:val="39"/>
  </w:num>
  <w:num w:numId="24">
    <w:abstractNumId w:val="25"/>
  </w:num>
  <w:num w:numId="25">
    <w:abstractNumId w:val="13"/>
  </w:num>
  <w:num w:numId="26">
    <w:abstractNumId w:val="15"/>
  </w:num>
  <w:num w:numId="27">
    <w:abstractNumId w:val="7"/>
  </w:num>
  <w:num w:numId="28">
    <w:abstractNumId w:val="8"/>
  </w:num>
  <w:num w:numId="29">
    <w:abstractNumId w:val="26"/>
  </w:num>
  <w:num w:numId="30">
    <w:abstractNumId w:val="41"/>
  </w:num>
  <w:num w:numId="31">
    <w:abstractNumId w:val="42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5"/>
  </w:num>
  <w:num w:numId="37">
    <w:abstractNumId w:val="29"/>
  </w:num>
  <w:num w:numId="38">
    <w:abstractNumId w:val="20"/>
  </w:num>
  <w:num w:numId="39">
    <w:abstractNumId w:val="40"/>
  </w:num>
  <w:num w:numId="40">
    <w:abstractNumId w:val="31"/>
  </w:num>
  <w:num w:numId="41">
    <w:abstractNumId w:val="6"/>
  </w:num>
  <w:num w:numId="42">
    <w:abstractNumId w:val="22"/>
  </w:num>
  <w:num w:numId="43">
    <w:abstractNumId w:val="1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5727D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741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6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68DC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6F0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0684"/>
    <w:rsid w:val="0023676E"/>
    <w:rsid w:val="002414B6"/>
    <w:rsid w:val="002422EB"/>
    <w:rsid w:val="00242397"/>
    <w:rsid w:val="002446DC"/>
    <w:rsid w:val="00245ECD"/>
    <w:rsid w:val="00247A48"/>
    <w:rsid w:val="00250937"/>
    <w:rsid w:val="00250DD1"/>
    <w:rsid w:val="00251183"/>
    <w:rsid w:val="00251689"/>
    <w:rsid w:val="0025267C"/>
    <w:rsid w:val="00253B6B"/>
    <w:rsid w:val="00256A03"/>
    <w:rsid w:val="0025748D"/>
    <w:rsid w:val="00261197"/>
    <w:rsid w:val="00265656"/>
    <w:rsid w:val="00265E77"/>
    <w:rsid w:val="00266155"/>
    <w:rsid w:val="0027270B"/>
    <w:rsid w:val="00272B36"/>
    <w:rsid w:val="00274D17"/>
    <w:rsid w:val="00282E7B"/>
    <w:rsid w:val="002838C8"/>
    <w:rsid w:val="002867B0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61B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B41"/>
    <w:rsid w:val="00316E87"/>
    <w:rsid w:val="0032110A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8C9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567"/>
    <w:rsid w:val="003A31B9"/>
    <w:rsid w:val="003A3E2F"/>
    <w:rsid w:val="003A6CCB"/>
    <w:rsid w:val="003A6F73"/>
    <w:rsid w:val="003B0F22"/>
    <w:rsid w:val="003B10C4"/>
    <w:rsid w:val="003B48EB"/>
    <w:rsid w:val="003B5CD1"/>
    <w:rsid w:val="003C33FF"/>
    <w:rsid w:val="003C3E0E"/>
    <w:rsid w:val="003C64A5"/>
    <w:rsid w:val="003D03CC"/>
    <w:rsid w:val="003D184E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9CE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37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3A4D"/>
    <w:rsid w:val="00536031"/>
    <w:rsid w:val="0054134B"/>
    <w:rsid w:val="00541B85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2251"/>
    <w:rsid w:val="0057436C"/>
    <w:rsid w:val="0057522B"/>
    <w:rsid w:val="00575DE3"/>
    <w:rsid w:val="00577040"/>
    <w:rsid w:val="00580B08"/>
    <w:rsid w:val="00582578"/>
    <w:rsid w:val="00582B2A"/>
    <w:rsid w:val="0058621D"/>
    <w:rsid w:val="00586904"/>
    <w:rsid w:val="00594EC7"/>
    <w:rsid w:val="005A44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2F5"/>
    <w:rsid w:val="005C23D6"/>
    <w:rsid w:val="005C276A"/>
    <w:rsid w:val="005D380C"/>
    <w:rsid w:val="005D3F79"/>
    <w:rsid w:val="005D6E04"/>
    <w:rsid w:val="005D7A12"/>
    <w:rsid w:val="005E365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6F1D"/>
    <w:rsid w:val="0061726B"/>
    <w:rsid w:val="00617B81"/>
    <w:rsid w:val="0062387A"/>
    <w:rsid w:val="006326D8"/>
    <w:rsid w:val="0063377D"/>
    <w:rsid w:val="006344BE"/>
    <w:rsid w:val="00634A66"/>
    <w:rsid w:val="006370A5"/>
    <w:rsid w:val="00640336"/>
    <w:rsid w:val="00640FC9"/>
    <w:rsid w:val="006414D3"/>
    <w:rsid w:val="006432F2"/>
    <w:rsid w:val="006459CF"/>
    <w:rsid w:val="0065320F"/>
    <w:rsid w:val="00653D64"/>
    <w:rsid w:val="00654E13"/>
    <w:rsid w:val="00666503"/>
    <w:rsid w:val="00667489"/>
    <w:rsid w:val="00670D44"/>
    <w:rsid w:val="00670DDB"/>
    <w:rsid w:val="00673F4C"/>
    <w:rsid w:val="00675570"/>
    <w:rsid w:val="006764C6"/>
    <w:rsid w:val="00676AFC"/>
    <w:rsid w:val="00676FEB"/>
    <w:rsid w:val="006807CD"/>
    <w:rsid w:val="00682D43"/>
    <w:rsid w:val="0068507D"/>
    <w:rsid w:val="00685BAF"/>
    <w:rsid w:val="0068612D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2524"/>
    <w:rsid w:val="007011A5"/>
    <w:rsid w:val="007032A3"/>
    <w:rsid w:val="00705EAF"/>
    <w:rsid w:val="0070773E"/>
    <w:rsid w:val="007101CC"/>
    <w:rsid w:val="00715441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9D5"/>
    <w:rsid w:val="007568D8"/>
    <w:rsid w:val="007616B4"/>
    <w:rsid w:val="00765316"/>
    <w:rsid w:val="00767C73"/>
    <w:rsid w:val="007708C8"/>
    <w:rsid w:val="0077719D"/>
    <w:rsid w:val="00780DF0"/>
    <w:rsid w:val="007810B7"/>
    <w:rsid w:val="00782F0F"/>
    <w:rsid w:val="0078538F"/>
    <w:rsid w:val="00787482"/>
    <w:rsid w:val="0079145A"/>
    <w:rsid w:val="007A286D"/>
    <w:rsid w:val="007A314D"/>
    <w:rsid w:val="007A38DF"/>
    <w:rsid w:val="007A55BD"/>
    <w:rsid w:val="007B00E5"/>
    <w:rsid w:val="007B20CF"/>
    <w:rsid w:val="007B2499"/>
    <w:rsid w:val="007B72E1"/>
    <w:rsid w:val="007B783A"/>
    <w:rsid w:val="007C1B95"/>
    <w:rsid w:val="007C3DF3"/>
    <w:rsid w:val="007C3F5F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7F70EB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4DA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1D7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42249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5FB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0C07"/>
    <w:rsid w:val="009F1AD2"/>
    <w:rsid w:val="009F1FC0"/>
    <w:rsid w:val="009F681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6FD"/>
    <w:rsid w:val="00A60351"/>
    <w:rsid w:val="00A61C6D"/>
    <w:rsid w:val="00A63015"/>
    <w:rsid w:val="00A6387B"/>
    <w:rsid w:val="00A6482F"/>
    <w:rsid w:val="00A66254"/>
    <w:rsid w:val="00A678B4"/>
    <w:rsid w:val="00A704A3"/>
    <w:rsid w:val="00A74FA3"/>
    <w:rsid w:val="00A75E23"/>
    <w:rsid w:val="00A82AA0"/>
    <w:rsid w:val="00A82F8A"/>
    <w:rsid w:val="00A84622"/>
    <w:rsid w:val="00A84BF0"/>
    <w:rsid w:val="00A85287"/>
    <w:rsid w:val="00A9226B"/>
    <w:rsid w:val="00A925AC"/>
    <w:rsid w:val="00A9575C"/>
    <w:rsid w:val="00A95B56"/>
    <w:rsid w:val="00A95E81"/>
    <w:rsid w:val="00A969AF"/>
    <w:rsid w:val="00AA01C6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3B13"/>
    <w:rsid w:val="00B3499B"/>
    <w:rsid w:val="00B36E65"/>
    <w:rsid w:val="00B4167F"/>
    <w:rsid w:val="00B41D57"/>
    <w:rsid w:val="00B41F47"/>
    <w:rsid w:val="00B44468"/>
    <w:rsid w:val="00B606F8"/>
    <w:rsid w:val="00B60AC9"/>
    <w:rsid w:val="00B660D6"/>
    <w:rsid w:val="00B67323"/>
    <w:rsid w:val="00B70ACB"/>
    <w:rsid w:val="00B715F2"/>
    <w:rsid w:val="00B74071"/>
    <w:rsid w:val="00B7428E"/>
    <w:rsid w:val="00B74B67"/>
    <w:rsid w:val="00B75580"/>
    <w:rsid w:val="00B779AA"/>
    <w:rsid w:val="00B81A95"/>
    <w:rsid w:val="00B81C95"/>
    <w:rsid w:val="00B82330"/>
    <w:rsid w:val="00B82ED4"/>
    <w:rsid w:val="00B8424F"/>
    <w:rsid w:val="00B86896"/>
    <w:rsid w:val="00B875A6"/>
    <w:rsid w:val="00B93E4C"/>
    <w:rsid w:val="00B94A1B"/>
    <w:rsid w:val="00B9745E"/>
    <w:rsid w:val="00B9784D"/>
    <w:rsid w:val="00BA5C89"/>
    <w:rsid w:val="00BA5EAA"/>
    <w:rsid w:val="00BB04EB"/>
    <w:rsid w:val="00BB2539"/>
    <w:rsid w:val="00BB4CE2"/>
    <w:rsid w:val="00BB5EF0"/>
    <w:rsid w:val="00BB6724"/>
    <w:rsid w:val="00BC0EFB"/>
    <w:rsid w:val="00BC2E39"/>
    <w:rsid w:val="00BC6106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471"/>
    <w:rsid w:val="00C171A1"/>
    <w:rsid w:val="00C171A4"/>
    <w:rsid w:val="00C17F12"/>
    <w:rsid w:val="00C20734"/>
    <w:rsid w:val="00C21C1A"/>
    <w:rsid w:val="00C237E9"/>
    <w:rsid w:val="00C275D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6EC4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2226"/>
    <w:rsid w:val="00CF069C"/>
    <w:rsid w:val="00CF0DFF"/>
    <w:rsid w:val="00D028A9"/>
    <w:rsid w:val="00D02D40"/>
    <w:rsid w:val="00D0359D"/>
    <w:rsid w:val="00D04DED"/>
    <w:rsid w:val="00D1089A"/>
    <w:rsid w:val="00D116BD"/>
    <w:rsid w:val="00D16FE0"/>
    <w:rsid w:val="00D2001A"/>
    <w:rsid w:val="00D20684"/>
    <w:rsid w:val="00D22CE9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E28"/>
    <w:rsid w:val="00D625A7"/>
    <w:rsid w:val="00D63575"/>
    <w:rsid w:val="00D64074"/>
    <w:rsid w:val="00D65777"/>
    <w:rsid w:val="00D665F0"/>
    <w:rsid w:val="00D728A0"/>
    <w:rsid w:val="00D74018"/>
    <w:rsid w:val="00D83661"/>
    <w:rsid w:val="00D84DAF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39A3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144D"/>
    <w:rsid w:val="00E22698"/>
    <w:rsid w:val="00E25B7C"/>
    <w:rsid w:val="00E27FA4"/>
    <w:rsid w:val="00E3076B"/>
    <w:rsid w:val="00E33224"/>
    <w:rsid w:val="00E3725B"/>
    <w:rsid w:val="00E434D1"/>
    <w:rsid w:val="00E56CBB"/>
    <w:rsid w:val="00E579A6"/>
    <w:rsid w:val="00E6057D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6713"/>
    <w:rsid w:val="00EC27E1"/>
    <w:rsid w:val="00EC3E4B"/>
    <w:rsid w:val="00EC47C4"/>
    <w:rsid w:val="00EC4F3A"/>
    <w:rsid w:val="00EC5045"/>
    <w:rsid w:val="00EC5E74"/>
    <w:rsid w:val="00ED594D"/>
    <w:rsid w:val="00EE117D"/>
    <w:rsid w:val="00EE36E1"/>
    <w:rsid w:val="00EE6228"/>
    <w:rsid w:val="00EE7AC7"/>
    <w:rsid w:val="00EE7B3F"/>
    <w:rsid w:val="00EF2247"/>
    <w:rsid w:val="00EF3A8A"/>
    <w:rsid w:val="00F0054D"/>
    <w:rsid w:val="00F02467"/>
    <w:rsid w:val="00F041BF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14BB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7D11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0AA"/>
    <w:rsid w:val="00FC752C"/>
    <w:rsid w:val="00FD0492"/>
    <w:rsid w:val="00FD12E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1F0E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odsazenChar">
    <w:name w:val="Základní text odsazený Char"/>
    <w:link w:val="Zkladntextodsazen"/>
    <w:rsid w:val="007F70EB"/>
    <w:rPr>
      <w:b/>
      <w:sz w:val="22"/>
      <w:lang w:eastAsia="en-US"/>
    </w:rPr>
  </w:style>
  <w:style w:type="paragraph" w:customStyle="1" w:styleId="BODY">
    <w:name w:val="BODY"/>
    <w:basedOn w:val="Normln"/>
    <w:qFormat/>
    <w:rsid w:val="007F70EB"/>
    <w:pPr>
      <w:spacing w:after="220" w:line="240" w:lineRule="auto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6AA-7DD1-4CE4-B7BC-64928A1D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2972</Words>
  <Characters>17541</Characters>
  <Application>Microsoft Office Word</Application>
  <DocSecurity>0</DocSecurity>
  <Lines>146</Lines>
  <Paragraphs>40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20</cp:revision>
  <cp:lastPrinted>2025-06-27T09:54:00Z</cp:lastPrinted>
  <dcterms:created xsi:type="dcterms:W3CDTF">2025-03-27T09:48:00Z</dcterms:created>
  <dcterms:modified xsi:type="dcterms:W3CDTF">2025-06-27T09:54:00Z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