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7C0376" w:rsidP="00EA4FD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7C0376" w:rsidP="00EA4FD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7C0376" w:rsidP="00EA4FDC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0FFCE841" w14:textId="77777777" w:rsidR="0039412F" w:rsidRPr="00345EA7" w:rsidRDefault="0039412F" w:rsidP="00EA4FDC">
      <w:pPr>
        <w:spacing w:line="240" w:lineRule="auto"/>
        <w:rPr>
          <w:szCs w:val="22"/>
        </w:rPr>
      </w:pPr>
      <w:r w:rsidRPr="00345EA7">
        <w:rPr>
          <w:szCs w:val="22"/>
        </w:rPr>
        <w:t>MELOXICAM Bioveta 1,5 mg/ml perorální suspenze pro psy</w:t>
      </w:r>
    </w:p>
    <w:p w14:paraId="5906BB1F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7C0376" w:rsidP="00EA4FDC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565065BF" w14:textId="6E15691D" w:rsidR="0039412F" w:rsidRPr="00345EA7" w:rsidRDefault="00860799" w:rsidP="00EA4FDC">
      <w:pPr>
        <w:spacing w:line="240" w:lineRule="auto"/>
        <w:rPr>
          <w:szCs w:val="22"/>
        </w:rPr>
      </w:pPr>
      <w:r>
        <w:rPr>
          <w:szCs w:val="22"/>
        </w:rPr>
        <w:t>Každý</w:t>
      </w:r>
      <w:r w:rsidRPr="00345EA7">
        <w:rPr>
          <w:szCs w:val="22"/>
        </w:rPr>
        <w:t xml:space="preserve"> </w:t>
      </w:r>
      <w:r w:rsidR="0039412F" w:rsidRPr="00345EA7">
        <w:rPr>
          <w:szCs w:val="22"/>
        </w:rPr>
        <w:t>ml obsahuje:</w:t>
      </w:r>
    </w:p>
    <w:p w14:paraId="668A2BBB" w14:textId="5EB60617" w:rsidR="00C114FF" w:rsidRPr="00B41D57" w:rsidRDefault="007C0376" w:rsidP="00EA4FDC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587D4188" w14:textId="77777777" w:rsidR="0039412F" w:rsidRPr="00345EA7" w:rsidRDefault="0039412F" w:rsidP="00EA4FDC">
      <w:pPr>
        <w:spacing w:line="240" w:lineRule="auto"/>
        <w:rPr>
          <w:szCs w:val="22"/>
        </w:rPr>
      </w:pPr>
      <w:proofErr w:type="spellStart"/>
      <w:r w:rsidRPr="00345EA7">
        <w:rPr>
          <w:szCs w:val="22"/>
        </w:rPr>
        <w:t>Meloxicamum</w:t>
      </w:r>
      <w:proofErr w:type="spellEnd"/>
      <w:r w:rsidRPr="00345EA7">
        <w:rPr>
          <w:szCs w:val="22"/>
        </w:rPr>
        <w:t xml:space="preserve"> 1,5 mg</w:t>
      </w:r>
    </w:p>
    <w:p w14:paraId="5DBC8849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5F42F38" w14:textId="2AC12181" w:rsidR="00C114FF" w:rsidRPr="00B41D57" w:rsidRDefault="007C0376" w:rsidP="00EA4FDC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13C45036" w14:textId="77777777" w:rsidR="00C114FF" w:rsidRPr="00B41D57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4"/>
        <w:gridCol w:w="4527"/>
      </w:tblGrid>
      <w:tr w:rsidR="00745DE7" w14:paraId="0B4C76E3" w14:textId="77777777" w:rsidTr="0039412F">
        <w:tc>
          <w:tcPr>
            <w:tcW w:w="4534" w:type="dxa"/>
            <w:vAlign w:val="center"/>
          </w:tcPr>
          <w:p w14:paraId="6D45EB6D" w14:textId="35A517EE" w:rsidR="00872C48" w:rsidRPr="0039412F" w:rsidRDefault="007C0376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39412F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27" w:type="dxa"/>
            <w:vAlign w:val="center"/>
          </w:tcPr>
          <w:p w14:paraId="2E659D33" w14:textId="59D33FA2" w:rsidR="00872C48" w:rsidRPr="0039412F" w:rsidRDefault="007C0376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39412F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745DE7" w14:paraId="7D5263D3" w14:textId="77777777" w:rsidTr="0039412F">
        <w:tc>
          <w:tcPr>
            <w:tcW w:w="4534" w:type="dxa"/>
            <w:vAlign w:val="center"/>
          </w:tcPr>
          <w:p w14:paraId="0F798F46" w14:textId="02E3079C" w:rsidR="00872C48" w:rsidRPr="00B41D57" w:rsidRDefault="0039412F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>
              <w:rPr>
                <w:szCs w:val="22"/>
              </w:rPr>
              <w:t>Natrium-benzoá</w:t>
            </w:r>
            <w:r w:rsidRPr="003C6829">
              <w:rPr>
                <w:szCs w:val="22"/>
              </w:rPr>
              <w:t>t</w:t>
            </w:r>
          </w:p>
        </w:tc>
        <w:tc>
          <w:tcPr>
            <w:tcW w:w="4527" w:type="dxa"/>
            <w:vAlign w:val="center"/>
          </w:tcPr>
          <w:p w14:paraId="457A3BBC" w14:textId="06F50A9F" w:rsidR="00872C48" w:rsidRPr="00B41D57" w:rsidRDefault="0039412F" w:rsidP="00BF00EF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5 mg</w:t>
            </w:r>
          </w:p>
        </w:tc>
      </w:tr>
      <w:tr w:rsidR="00745DE7" w14:paraId="6A4C5E50" w14:textId="77777777" w:rsidTr="0039412F">
        <w:tc>
          <w:tcPr>
            <w:tcW w:w="4534" w:type="dxa"/>
            <w:vAlign w:val="center"/>
          </w:tcPr>
          <w:p w14:paraId="5CCC8F42" w14:textId="5A85AB79" w:rsidR="00872C48" w:rsidRPr="00B41D57" w:rsidRDefault="0039412F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snapToGrid w:val="0"/>
                <w:szCs w:val="22"/>
              </w:rPr>
              <w:t>Tekutý nekrystalizující s</w:t>
            </w:r>
            <w:r w:rsidRPr="00A342B4">
              <w:rPr>
                <w:snapToGrid w:val="0"/>
                <w:szCs w:val="22"/>
              </w:rPr>
              <w:t xml:space="preserve">orbitol </w:t>
            </w:r>
            <w:proofErr w:type="gramStart"/>
            <w:r w:rsidRPr="00A342B4">
              <w:rPr>
                <w:snapToGrid w:val="0"/>
                <w:szCs w:val="22"/>
              </w:rPr>
              <w:t>70%</w:t>
            </w:r>
            <w:proofErr w:type="gramEnd"/>
          </w:p>
        </w:tc>
        <w:tc>
          <w:tcPr>
            <w:tcW w:w="4527" w:type="dxa"/>
            <w:vAlign w:val="center"/>
          </w:tcPr>
          <w:p w14:paraId="2EA0CFB0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745DE7" w14:paraId="1E235C5B" w14:textId="77777777" w:rsidTr="0039412F">
        <w:tc>
          <w:tcPr>
            <w:tcW w:w="4534" w:type="dxa"/>
            <w:vAlign w:val="center"/>
          </w:tcPr>
          <w:p w14:paraId="0ECB18EE" w14:textId="5A543976" w:rsidR="00872C48" w:rsidRPr="00B41D57" w:rsidRDefault="0039412F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bCs/>
                <w:szCs w:val="22"/>
              </w:rPr>
              <w:t>Koloidní bezvodý oxid křemičitý</w:t>
            </w:r>
          </w:p>
        </w:tc>
        <w:tc>
          <w:tcPr>
            <w:tcW w:w="4527" w:type="dxa"/>
            <w:vAlign w:val="center"/>
          </w:tcPr>
          <w:p w14:paraId="20880B39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745DE7" w14:paraId="726979DE" w14:textId="77777777" w:rsidTr="0039412F">
        <w:tc>
          <w:tcPr>
            <w:tcW w:w="4534" w:type="dxa"/>
            <w:vAlign w:val="center"/>
          </w:tcPr>
          <w:p w14:paraId="4D9ACFF2" w14:textId="22C53874" w:rsidR="00872C48" w:rsidRPr="00B41D57" w:rsidRDefault="0039412F" w:rsidP="00617B81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r>
              <w:rPr>
                <w:snapToGrid w:val="0"/>
                <w:szCs w:val="22"/>
              </w:rPr>
              <w:t>S</w:t>
            </w:r>
            <w:r w:rsidRPr="00367D20">
              <w:rPr>
                <w:snapToGrid w:val="0"/>
                <w:szCs w:val="22"/>
              </w:rPr>
              <w:t>odná sůl</w:t>
            </w:r>
            <w:r>
              <w:rPr>
                <w:snapToGrid w:val="0"/>
                <w:szCs w:val="22"/>
              </w:rPr>
              <w:t xml:space="preserve"> </w:t>
            </w:r>
            <w:proofErr w:type="spellStart"/>
            <w:r>
              <w:rPr>
                <w:snapToGrid w:val="0"/>
                <w:szCs w:val="22"/>
              </w:rPr>
              <w:t>k</w:t>
            </w:r>
            <w:r w:rsidRPr="00367D20">
              <w:rPr>
                <w:snapToGrid w:val="0"/>
                <w:szCs w:val="22"/>
              </w:rPr>
              <w:t>armelos</w:t>
            </w:r>
            <w:r>
              <w:rPr>
                <w:snapToGrid w:val="0"/>
                <w:szCs w:val="22"/>
              </w:rPr>
              <w:t>y</w:t>
            </w:r>
            <w:proofErr w:type="spellEnd"/>
          </w:p>
        </w:tc>
        <w:tc>
          <w:tcPr>
            <w:tcW w:w="4527" w:type="dxa"/>
            <w:vAlign w:val="center"/>
          </w:tcPr>
          <w:p w14:paraId="47285C4B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745DE7" w14:paraId="7E2051F5" w14:textId="77777777" w:rsidTr="0039412F">
        <w:tc>
          <w:tcPr>
            <w:tcW w:w="4534" w:type="dxa"/>
            <w:vAlign w:val="center"/>
          </w:tcPr>
          <w:p w14:paraId="53752492" w14:textId="59A62B13" w:rsidR="00872C48" w:rsidRPr="00B41D57" w:rsidRDefault="0039412F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snapToGrid w:val="0"/>
                <w:szCs w:val="22"/>
              </w:rPr>
              <w:t>S</w:t>
            </w:r>
            <w:r w:rsidRPr="00367D20">
              <w:rPr>
                <w:snapToGrid w:val="0"/>
                <w:szCs w:val="22"/>
              </w:rPr>
              <w:t>odná sůl</w:t>
            </w:r>
            <w:r>
              <w:rPr>
                <w:snapToGrid w:val="0"/>
                <w:szCs w:val="22"/>
              </w:rPr>
              <w:t xml:space="preserve"> s</w:t>
            </w:r>
            <w:r w:rsidRPr="00367D20">
              <w:rPr>
                <w:snapToGrid w:val="0"/>
                <w:szCs w:val="22"/>
              </w:rPr>
              <w:t>acharin</w:t>
            </w:r>
            <w:r>
              <w:rPr>
                <w:snapToGrid w:val="0"/>
                <w:szCs w:val="22"/>
              </w:rPr>
              <w:t>u</w:t>
            </w:r>
          </w:p>
        </w:tc>
        <w:tc>
          <w:tcPr>
            <w:tcW w:w="4527" w:type="dxa"/>
            <w:vAlign w:val="center"/>
          </w:tcPr>
          <w:p w14:paraId="5008D6AC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9412F" w14:paraId="2100237E" w14:textId="77777777" w:rsidTr="0039412F">
        <w:tc>
          <w:tcPr>
            <w:tcW w:w="4534" w:type="dxa"/>
            <w:vAlign w:val="center"/>
          </w:tcPr>
          <w:p w14:paraId="45647EB7" w14:textId="69E31E53" w:rsidR="0039412F" w:rsidRDefault="0039412F" w:rsidP="00617B81">
            <w:pPr>
              <w:spacing w:before="60" w:after="60"/>
              <w:rPr>
                <w:snapToGrid w:val="0"/>
                <w:szCs w:val="22"/>
              </w:rPr>
            </w:pPr>
            <w:r>
              <w:rPr>
                <w:snapToGrid w:val="0"/>
                <w:szCs w:val="22"/>
              </w:rPr>
              <w:t>M</w:t>
            </w:r>
            <w:r w:rsidRPr="00367D20">
              <w:rPr>
                <w:snapToGrid w:val="0"/>
                <w:szCs w:val="22"/>
              </w:rPr>
              <w:t>onohydrát</w:t>
            </w:r>
            <w:r>
              <w:rPr>
                <w:snapToGrid w:val="0"/>
                <w:szCs w:val="22"/>
              </w:rPr>
              <w:t xml:space="preserve"> k</w:t>
            </w:r>
            <w:r w:rsidRPr="00367D20">
              <w:rPr>
                <w:snapToGrid w:val="0"/>
                <w:szCs w:val="22"/>
              </w:rPr>
              <w:t>yselin</w:t>
            </w:r>
            <w:r>
              <w:rPr>
                <w:snapToGrid w:val="0"/>
                <w:szCs w:val="22"/>
              </w:rPr>
              <w:t>y</w:t>
            </w:r>
            <w:r w:rsidRPr="00367D20">
              <w:rPr>
                <w:snapToGrid w:val="0"/>
                <w:szCs w:val="22"/>
              </w:rPr>
              <w:t xml:space="preserve"> citronov</w:t>
            </w:r>
            <w:r>
              <w:rPr>
                <w:snapToGrid w:val="0"/>
                <w:szCs w:val="22"/>
              </w:rPr>
              <w:t>é</w:t>
            </w:r>
          </w:p>
        </w:tc>
        <w:tc>
          <w:tcPr>
            <w:tcW w:w="4527" w:type="dxa"/>
            <w:vAlign w:val="center"/>
          </w:tcPr>
          <w:p w14:paraId="3B5E055A" w14:textId="77777777" w:rsidR="0039412F" w:rsidRPr="00B41D57" w:rsidRDefault="0039412F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9412F" w14:paraId="105E263E" w14:textId="77777777" w:rsidTr="0039412F">
        <w:tc>
          <w:tcPr>
            <w:tcW w:w="4534" w:type="dxa"/>
            <w:vAlign w:val="center"/>
          </w:tcPr>
          <w:p w14:paraId="142423FB" w14:textId="18DAE2BC" w:rsidR="0039412F" w:rsidRDefault="0039412F" w:rsidP="00617B81">
            <w:pPr>
              <w:spacing w:before="60" w:after="60"/>
              <w:rPr>
                <w:snapToGrid w:val="0"/>
                <w:szCs w:val="22"/>
              </w:rPr>
            </w:pPr>
            <w:r>
              <w:rPr>
                <w:snapToGrid w:val="0"/>
                <w:szCs w:val="22"/>
              </w:rPr>
              <w:t>Hydroxid sodný</w:t>
            </w:r>
          </w:p>
        </w:tc>
        <w:tc>
          <w:tcPr>
            <w:tcW w:w="4527" w:type="dxa"/>
            <w:vAlign w:val="center"/>
          </w:tcPr>
          <w:p w14:paraId="49850D5B" w14:textId="77777777" w:rsidR="0039412F" w:rsidRPr="00B41D57" w:rsidRDefault="0039412F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9412F" w14:paraId="06937E5A" w14:textId="77777777" w:rsidTr="0039412F">
        <w:tc>
          <w:tcPr>
            <w:tcW w:w="4534" w:type="dxa"/>
            <w:vAlign w:val="center"/>
          </w:tcPr>
          <w:p w14:paraId="540807B5" w14:textId="6A399FF2" w:rsidR="0039412F" w:rsidRDefault="0039412F" w:rsidP="00617B81">
            <w:pPr>
              <w:spacing w:before="60" w:after="60"/>
              <w:rPr>
                <w:snapToGrid w:val="0"/>
                <w:szCs w:val="22"/>
              </w:rPr>
            </w:pPr>
            <w:proofErr w:type="spellStart"/>
            <w:r>
              <w:rPr>
                <w:snapToGrid w:val="0"/>
                <w:szCs w:val="22"/>
              </w:rPr>
              <w:t>D</w:t>
            </w:r>
            <w:r w:rsidRPr="00A342B4">
              <w:rPr>
                <w:snapToGrid w:val="0"/>
                <w:szCs w:val="22"/>
              </w:rPr>
              <w:t>odekahydrát</w:t>
            </w:r>
            <w:proofErr w:type="spellEnd"/>
            <w:r>
              <w:rPr>
                <w:snapToGrid w:val="0"/>
                <w:szCs w:val="22"/>
              </w:rPr>
              <w:t xml:space="preserve"> </w:t>
            </w:r>
            <w:proofErr w:type="spellStart"/>
            <w:r>
              <w:rPr>
                <w:snapToGrid w:val="0"/>
                <w:szCs w:val="22"/>
              </w:rPr>
              <w:t>h</w:t>
            </w:r>
            <w:r w:rsidRPr="00A342B4">
              <w:rPr>
                <w:snapToGrid w:val="0"/>
                <w:szCs w:val="22"/>
              </w:rPr>
              <w:t>ydrogenfosforečnan</w:t>
            </w:r>
            <w:r>
              <w:rPr>
                <w:snapToGrid w:val="0"/>
                <w:szCs w:val="22"/>
              </w:rPr>
              <w:t>u</w:t>
            </w:r>
            <w:proofErr w:type="spellEnd"/>
            <w:r w:rsidRPr="00A342B4">
              <w:rPr>
                <w:snapToGrid w:val="0"/>
                <w:szCs w:val="22"/>
              </w:rPr>
              <w:t xml:space="preserve"> sodn</w:t>
            </w:r>
            <w:r>
              <w:rPr>
                <w:snapToGrid w:val="0"/>
                <w:szCs w:val="22"/>
              </w:rPr>
              <w:t>ého</w:t>
            </w:r>
          </w:p>
        </w:tc>
        <w:tc>
          <w:tcPr>
            <w:tcW w:w="4527" w:type="dxa"/>
            <w:vAlign w:val="center"/>
          </w:tcPr>
          <w:p w14:paraId="531C7A7A" w14:textId="77777777" w:rsidR="0039412F" w:rsidRPr="00B41D57" w:rsidRDefault="0039412F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9412F" w14:paraId="65A1EC7E" w14:textId="77777777" w:rsidTr="0039412F">
        <w:tc>
          <w:tcPr>
            <w:tcW w:w="4534" w:type="dxa"/>
            <w:vAlign w:val="center"/>
          </w:tcPr>
          <w:p w14:paraId="61B528A7" w14:textId="463DF05F" w:rsidR="0039412F" w:rsidRDefault="0039412F" w:rsidP="00617B81">
            <w:pPr>
              <w:spacing w:before="60" w:after="60"/>
              <w:rPr>
                <w:snapToGrid w:val="0"/>
                <w:szCs w:val="22"/>
              </w:rPr>
            </w:pPr>
            <w:r>
              <w:rPr>
                <w:bCs/>
                <w:szCs w:val="22"/>
              </w:rPr>
              <w:t>M</w:t>
            </w:r>
            <w:r w:rsidRPr="00345EA7">
              <w:rPr>
                <w:bCs/>
                <w:szCs w:val="22"/>
              </w:rPr>
              <w:t>edové aroma</w:t>
            </w:r>
          </w:p>
        </w:tc>
        <w:tc>
          <w:tcPr>
            <w:tcW w:w="4527" w:type="dxa"/>
            <w:vAlign w:val="center"/>
          </w:tcPr>
          <w:p w14:paraId="7DE56D60" w14:textId="77777777" w:rsidR="0039412F" w:rsidRPr="00B41D57" w:rsidRDefault="0039412F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9412F" w14:paraId="5F694AEE" w14:textId="77777777" w:rsidTr="0039412F">
        <w:tc>
          <w:tcPr>
            <w:tcW w:w="4534" w:type="dxa"/>
            <w:vAlign w:val="center"/>
          </w:tcPr>
          <w:p w14:paraId="090A4D55" w14:textId="7EF974CD" w:rsidR="0039412F" w:rsidRDefault="0039412F" w:rsidP="00617B81">
            <w:pPr>
              <w:spacing w:before="60" w:after="60"/>
              <w:rPr>
                <w:bCs/>
                <w:szCs w:val="22"/>
              </w:rPr>
            </w:pPr>
            <w:r>
              <w:rPr>
                <w:bCs/>
                <w:szCs w:val="22"/>
              </w:rPr>
              <w:t>V</w:t>
            </w:r>
            <w:r w:rsidRPr="00D32F79">
              <w:rPr>
                <w:bCs/>
                <w:szCs w:val="22"/>
              </w:rPr>
              <w:t xml:space="preserve">oda </w:t>
            </w:r>
            <w:r>
              <w:rPr>
                <w:bCs/>
                <w:szCs w:val="22"/>
              </w:rPr>
              <w:t>pro</w:t>
            </w:r>
            <w:r w:rsidRPr="00D32F79">
              <w:rPr>
                <w:bCs/>
                <w:szCs w:val="22"/>
              </w:rPr>
              <w:t xml:space="preserve"> injekc</w:t>
            </w:r>
            <w:r>
              <w:rPr>
                <w:bCs/>
                <w:szCs w:val="22"/>
              </w:rPr>
              <w:t>i</w:t>
            </w:r>
          </w:p>
        </w:tc>
        <w:tc>
          <w:tcPr>
            <w:tcW w:w="4527" w:type="dxa"/>
            <w:vAlign w:val="center"/>
          </w:tcPr>
          <w:p w14:paraId="6B455F63" w14:textId="77777777" w:rsidR="0039412F" w:rsidRPr="00B41D57" w:rsidRDefault="0039412F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B41D57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56048EA" w14:textId="77777777" w:rsidR="0039412F" w:rsidRPr="00EA4FDC" w:rsidRDefault="0039412F" w:rsidP="00EA4FDC">
      <w:pPr>
        <w:spacing w:line="240" w:lineRule="auto"/>
        <w:rPr>
          <w:szCs w:val="22"/>
        </w:rPr>
      </w:pPr>
      <w:r w:rsidRPr="00EA4FDC">
        <w:rPr>
          <w:szCs w:val="22"/>
        </w:rPr>
        <w:t>Žlutá nebo zelenožlutá suspenze.</w:t>
      </w:r>
    </w:p>
    <w:p w14:paraId="2E6CA329" w14:textId="77777777" w:rsidR="00C114FF" w:rsidRPr="00EA4FDC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610CE880" w14:textId="77777777" w:rsidR="0039412F" w:rsidRPr="00EA4FDC" w:rsidRDefault="0039412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EA4FDC" w:rsidRDefault="007C0376" w:rsidP="00EA4FDC">
      <w:pPr>
        <w:pStyle w:val="Style1"/>
      </w:pPr>
      <w:r w:rsidRPr="00EA4FDC">
        <w:t>3.</w:t>
      </w:r>
      <w:r w:rsidRPr="00EA4FDC">
        <w:tab/>
        <w:t>KLINICKÉ INFORMACE</w:t>
      </w:r>
    </w:p>
    <w:p w14:paraId="03304F78" w14:textId="77777777" w:rsidR="00C114FF" w:rsidRPr="00EA4FDC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EA4FDC" w:rsidRDefault="007C0376" w:rsidP="00EA4FDC">
      <w:pPr>
        <w:pStyle w:val="Style1"/>
      </w:pPr>
      <w:r w:rsidRPr="00EA4FDC">
        <w:t>3.1</w:t>
      </w:r>
      <w:r w:rsidRPr="00EA4FDC">
        <w:tab/>
        <w:t>Cílové druhy zvířat</w:t>
      </w:r>
    </w:p>
    <w:p w14:paraId="58DFC970" w14:textId="77777777" w:rsidR="0039412F" w:rsidRPr="00EA4FDC" w:rsidRDefault="0039412F" w:rsidP="00EA4FDC">
      <w:pPr>
        <w:spacing w:line="240" w:lineRule="auto"/>
        <w:rPr>
          <w:szCs w:val="22"/>
        </w:rPr>
      </w:pPr>
    </w:p>
    <w:p w14:paraId="0A0C0322" w14:textId="4132E74A" w:rsidR="0039412F" w:rsidRPr="00EA4FDC" w:rsidRDefault="0039412F" w:rsidP="00EA4FDC">
      <w:pPr>
        <w:spacing w:line="240" w:lineRule="auto"/>
        <w:rPr>
          <w:szCs w:val="22"/>
        </w:rPr>
      </w:pPr>
      <w:r w:rsidRPr="00EA4FDC">
        <w:rPr>
          <w:szCs w:val="22"/>
        </w:rPr>
        <w:t>Psi.</w:t>
      </w:r>
    </w:p>
    <w:p w14:paraId="20FFAC3D" w14:textId="77777777" w:rsidR="00C114FF" w:rsidRPr="00EA4FDC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EA4FDC" w:rsidRDefault="007C0376" w:rsidP="00EA4FDC">
      <w:pPr>
        <w:pStyle w:val="Style1"/>
      </w:pPr>
      <w:r w:rsidRPr="00EA4FDC">
        <w:t>3.2</w:t>
      </w:r>
      <w:r w:rsidRPr="00EA4FDC">
        <w:tab/>
        <w:t xml:space="preserve">Indikace pro použití pro každý cílový druh </w:t>
      </w:r>
      <w:r w:rsidR="0043586F" w:rsidRPr="00EA4FDC">
        <w:t>zvířat</w:t>
      </w:r>
    </w:p>
    <w:p w14:paraId="327E3A6F" w14:textId="77777777" w:rsidR="00C114FF" w:rsidRPr="00EA4FDC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53B9B8CE" w14:textId="466E6217" w:rsidR="0039412F" w:rsidRPr="00EA4FDC" w:rsidRDefault="0039412F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 xml:space="preserve">Zmírnění zánětu a snížení bolesti při akutních a chronických poruchách </w:t>
      </w:r>
      <w:proofErr w:type="spellStart"/>
      <w:r w:rsidRPr="00EA4FDC">
        <w:rPr>
          <w:szCs w:val="22"/>
        </w:rPr>
        <w:t>muskuloskeletálního</w:t>
      </w:r>
      <w:proofErr w:type="spellEnd"/>
      <w:r w:rsidRPr="00EA4FDC">
        <w:rPr>
          <w:szCs w:val="22"/>
        </w:rPr>
        <w:t xml:space="preserve"> systému </w:t>
      </w:r>
      <w:r w:rsidR="008E7308" w:rsidRPr="00EA4FDC">
        <w:rPr>
          <w:szCs w:val="22"/>
        </w:rPr>
        <w:t>u</w:t>
      </w:r>
      <w:r w:rsidR="008E7308">
        <w:rPr>
          <w:szCs w:val="22"/>
        </w:rPr>
        <w:t> </w:t>
      </w:r>
      <w:r w:rsidRPr="00EA4FDC">
        <w:rPr>
          <w:szCs w:val="22"/>
        </w:rPr>
        <w:t>psů.</w:t>
      </w:r>
    </w:p>
    <w:p w14:paraId="45A9E78C" w14:textId="77777777" w:rsidR="00E86CEE" w:rsidRPr="00EA4FDC" w:rsidRDefault="00E86CEE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EA4FDC" w:rsidRDefault="007C0376" w:rsidP="00EA4FDC">
      <w:pPr>
        <w:pStyle w:val="Style1"/>
      </w:pPr>
      <w:r w:rsidRPr="00EA4FDC">
        <w:t>3.3</w:t>
      </w:r>
      <w:r w:rsidRPr="00EA4FDC">
        <w:tab/>
        <w:t>Kontraindikace</w:t>
      </w:r>
    </w:p>
    <w:p w14:paraId="758D96B3" w14:textId="77777777" w:rsidR="00C114FF" w:rsidRPr="00EA4FDC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58C13038" w14:textId="77777777" w:rsidR="0039412F" w:rsidRPr="00EA4FDC" w:rsidRDefault="0039412F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Nepoužívat u březích nebo laktujících zvířat.</w:t>
      </w:r>
    </w:p>
    <w:p w14:paraId="47CD95D8" w14:textId="13B5DD35" w:rsidR="00EA4FDC" w:rsidRDefault="0039412F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 xml:space="preserve">Nepoužívat u zvířat </w:t>
      </w:r>
      <w:r w:rsidR="005B4948">
        <w:rPr>
          <w:szCs w:val="22"/>
        </w:rPr>
        <w:t>s</w:t>
      </w:r>
      <w:r w:rsidR="005B4948" w:rsidRPr="00EA4FDC">
        <w:rPr>
          <w:szCs w:val="22"/>
        </w:rPr>
        <w:t xml:space="preserve"> </w:t>
      </w:r>
      <w:r w:rsidRPr="00EA4FDC">
        <w:rPr>
          <w:szCs w:val="22"/>
        </w:rPr>
        <w:t>gastrointestinálními poruchami jako jsou podráždění a hemoragie, s narušenými funkcemi jater, srdce nebo ledvin a onemocněním s krvácením.</w:t>
      </w:r>
      <w:r w:rsidR="00EA4FDC">
        <w:rPr>
          <w:szCs w:val="22"/>
        </w:rPr>
        <w:t xml:space="preserve"> </w:t>
      </w:r>
    </w:p>
    <w:p w14:paraId="00D4194F" w14:textId="42F3ED5B" w:rsidR="00EA4FDC" w:rsidRDefault="0039412F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Nepoužívat v případ</w:t>
      </w:r>
      <w:r w:rsidR="005B4948">
        <w:rPr>
          <w:szCs w:val="22"/>
        </w:rPr>
        <w:t>ech</w:t>
      </w:r>
      <w:r w:rsidRPr="00EA4FDC">
        <w:rPr>
          <w:szCs w:val="22"/>
        </w:rPr>
        <w:t xml:space="preserve"> přecitlivělosti na léčivou látku nebo na některou z pomocných látek.</w:t>
      </w:r>
    </w:p>
    <w:p w14:paraId="0663C56A" w14:textId="63DBA684" w:rsidR="0039412F" w:rsidRPr="00EA4FDC" w:rsidRDefault="0039412F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Nepoužívat u psů mladších 6 týdnů.</w:t>
      </w:r>
    </w:p>
    <w:p w14:paraId="54C2FA76" w14:textId="77777777" w:rsidR="00C114FF" w:rsidRPr="00EA4FDC" w:rsidRDefault="00C114F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35B3144D" w14:textId="77777777" w:rsidR="0039412F" w:rsidRPr="00EA4FDC" w:rsidRDefault="0039412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5E7198B7" w14:textId="77777777" w:rsidR="0039412F" w:rsidRPr="00EA4FDC" w:rsidRDefault="0039412F" w:rsidP="00EA4FDC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AA798F" w:rsidRDefault="007C0376" w:rsidP="008E7308">
      <w:pPr>
        <w:pStyle w:val="Style1"/>
        <w:jc w:val="both"/>
      </w:pPr>
      <w:r w:rsidRPr="00AA798F">
        <w:lastRenderedPageBreak/>
        <w:t>3.4</w:t>
      </w:r>
      <w:r w:rsidRPr="00AA798F">
        <w:tab/>
        <w:t>Zvláštní upozornění</w:t>
      </w:r>
    </w:p>
    <w:p w14:paraId="0622A062" w14:textId="77777777" w:rsidR="00C114FF" w:rsidRPr="00AA798F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0169AFE" w14:textId="77777777" w:rsidR="0039412F" w:rsidRPr="00AA798F" w:rsidRDefault="0039412F" w:rsidP="008E7308">
      <w:pPr>
        <w:spacing w:line="240" w:lineRule="auto"/>
        <w:jc w:val="both"/>
        <w:rPr>
          <w:szCs w:val="22"/>
        </w:rPr>
      </w:pPr>
      <w:r w:rsidRPr="00AA798F">
        <w:rPr>
          <w:szCs w:val="22"/>
        </w:rPr>
        <w:t>Nejsou.</w:t>
      </w:r>
    </w:p>
    <w:p w14:paraId="7D798E15" w14:textId="77777777" w:rsidR="00E86CEE" w:rsidRPr="00AA798F" w:rsidRDefault="00E86CEE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B4CC7AC" w14:textId="77777777" w:rsidR="00C114FF" w:rsidRPr="00AA798F" w:rsidRDefault="007C0376" w:rsidP="008E7308">
      <w:pPr>
        <w:pStyle w:val="Style1"/>
        <w:jc w:val="both"/>
      </w:pPr>
      <w:r w:rsidRPr="00AA798F">
        <w:t>3.5</w:t>
      </w:r>
      <w:r w:rsidRPr="00AA798F">
        <w:tab/>
        <w:t>Zvláštní opatření pro použití</w:t>
      </w:r>
    </w:p>
    <w:p w14:paraId="0B94D7B2" w14:textId="77777777" w:rsidR="00C114FF" w:rsidRPr="00AA798F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82382B5" w14:textId="77777777" w:rsidR="00C114FF" w:rsidRPr="00AA798F" w:rsidRDefault="007C0376" w:rsidP="008E7308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AA798F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AA798F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AD40B9" w14:textId="77777777" w:rsidR="0039412F" w:rsidRPr="00AA798F" w:rsidRDefault="0039412F" w:rsidP="008E7308">
      <w:pPr>
        <w:spacing w:line="240" w:lineRule="auto"/>
        <w:jc w:val="both"/>
        <w:rPr>
          <w:szCs w:val="22"/>
        </w:rPr>
      </w:pPr>
      <w:r w:rsidRPr="00AA798F">
        <w:rPr>
          <w:szCs w:val="22"/>
        </w:rPr>
        <w:t>Nepoužívat u dehydratovaných, hypovolemických nebo hypotenzních zvířat, protože je zde potenciální riziko renální toxicity.</w:t>
      </w:r>
    </w:p>
    <w:p w14:paraId="1298FDFC" w14:textId="22E59141" w:rsidR="0039412F" w:rsidRPr="00AA798F" w:rsidRDefault="004774B1" w:rsidP="008E7308">
      <w:pPr>
        <w:spacing w:line="240" w:lineRule="auto"/>
        <w:jc w:val="both"/>
        <w:rPr>
          <w:szCs w:val="22"/>
        </w:rPr>
      </w:pPr>
      <w:r w:rsidRPr="00AA798F">
        <w:rPr>
          <w:szCs w:val="22"/>
        </w:rPr>
        <w:t>V</w:t>
      </w:r>
      <w:r w:rsidR="005B4948" w:rsidRPr="00AA798F">
        <w:rPr>
          <w:szCs w:val="22"/>
        </w:rPr>
        <w:t xml:space="preserve">eterinární léčivý </w:t>
      </w:r>
      <w:r w:rsidR="0039412F" w:rsidRPr="00AA798F">
        <w:rPr>
          <w:szCs w:val="22"/>
        </w:rPr>
        <w:t xml:space="preserve">přípravek je určen pro psy a nesmí být podáván kočkám, protože není vhodný pro tento druh zvířat. </w:t>
      </w:r>
    </w:p>
    <w:p w14:paraId="117F609A" w14:textId="77777777" w:rsidR="00C114FF" w:rsidRPr="00AA798F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A9A9E4" w14:textId="77777777" w:rsidR="00C114FF" w:rsidRPr="00AA798F" w:rsidRDefault="007C0376" w:rsidP="008E7308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AA798F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AA798F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149C86A" w14:textId="5C02323E" w:rsidR="0039412F" w:rsidRPr="00AA798F" w:rsidRDefault="0039412F" w:rsidP="008E7308">
      <w:pPr>
        <w:spacing w:line="240" w:lineRule="auto"/>
        <w:jc w:val="both"/>
        <w:rPr>
          <w:szCs w:val="22"/>
        </w:rPr>
      </w:pPr>
      <w:r w:rsidRPr="00AA798F">
        <w:rPr>
          <w:szCs w:val="22"/>
        </w:rPr>
        <w:t>Lidé se známou přecitlivělostí na NSAID by se měli vyhnout kontaktu s veterinárním léčivým přípravkem.</w:t>
      </w:r>
      <w:r w:rsidRPr="00AA798F">
        <w:rPr>
          <w:szCs w:val="22"/>
        </w:rPr>
        <w:br/>
        <w:t xml:space="preserve">V případě náhodného </w:t>
      </w:r>
      <w:r w:rsidR="00995E29" w:rsidRPr="00AA798F">
        <w:rPr>
          <w:szCs w:val="22"/>
        </w:rPr>
        <w:t xml:space="preserve">požití </w:t>
      </w:r>
      <w:r w:rsidRPr="00AA798F">
        <w:rPr>
          <w:szCs w:val="22"/>
        </w:rPr>
        <w:t>vyhledejte ihned lékařskou pomoc a ukažte příbalovou informaci nebo etiketu praktickému lékaři.</w:t>
      </w:r>
    </w:p>
    <w:p w14:paraId="7D364D19" w14:textId="77777777" w:rsidR="00C114FF" w:rsidRPr="00AA798F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738C061" w14:textId="77777777" w:rsidR="00295140" w:rsidRPr="00AA798F" w:rsidRDefault="007C0376" w:rsidP="008E7308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AA798F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AA798F" w:rsidRDefault="00295140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299AF40" w14:textId="53451EC6" w:rsidR="00C114FF" w:rsidRPr="00AA798F" w:rsidRDefault="007C0376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A798F">
        <w:rPr>
          <w:szCs w:val="22"/>
        </w:rPr>
        <w:t>Neuplatňuje se.</w:t>
      </w:r>
    </w:p>
    <w:p w14:paraId="0CE51CD2" w14:textId="77777777" w:rsidR="00295140" w:rsidRPr="00AA798F" w:rsidRDefault="00295140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7314DB" w14:textId="77777777" w:rsidR="00C114FF" w:rsidRPr="00AA798F" w:rsidRDefault="007C0376" w:rsidP="008E7308">
      <w:pPr>
        <w:pStyle w:val="Style1"/>
        <w:jc w:val="both"/>
      </w:pPr>
      <w:r w:rsidRPr="00AA798F">
        <w:t>3.6</w:t>
      </w:r>
      <w:r w:rsidRPr="00AA798F">
        <w:tab/>
      </w:r>
      <w:bookmarkStart w:id="0" w:name="_GoBack"/>
      <w:r w:rsidRPr="00AA798F">
        <w:t>Nežádoucí</w:t>
      </w:r>
      <w:bookmarkEnd w:id="0"/>
      <w:r w:rsidRPr="00AA798F">
        <w:t xml:space="preserve"> účinky</w:t>
      </w:r>
    </w:p>
    <w:p w14:paraId="10F3D673" w14:textId="77777777" w:rsidR="00295140" w:rsidRPr="00AA798F" w:rsidRDefault="00295140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76B8CA" w14:textId="6DF298AE" w:rsidR="00AD0710" w:rsidRPr="00AA798F" w:rsidRDefault="0090315B" w:rsidP="002529F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AA798F">
        <w:rPr>
          <w:szCs w:val="22"/>
        </w:rPr>
        <w:t>Psi</w:t>
      </w:r>
      <w:r w:rsidR="007C0376" w:rsidRPr="00AA798F">
        <w:rPr>
          <w:szCs w:val="22"/>
        </w:rPr>
        <w:t>:</w:t>
      </w:r>
    </w:p>
    <w:p w14:paraId="669C145E" w14:textId="77777777" w:rsidR="00295140" w:rsidRPr="00AA798F" w:rsidRDefault="00295140">
      <w:pPr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745DE7" w:rsidRPr="00EA4FDC" w14:paraId="2A97D209" w14:textId="77777777" w:rsidTr="00617B81">
        <w:tc>
          <w:tcPr>
            <w:tcW w:w="1957" w:type="pct"/>
          </w:tcPr>
          <w:p w14:paraId="5D574AED" w14:textId="77777777" w:rsidR="00295140" w:rsidRPr="00EA4FDC" w:rsidRDefault="007C0376" w:rsidP="00181E7D">
            <w:pPr>
              <w:spacing w:line="240" w:lineRule="auto"/>
              <w:rPr>
                <w:szCs w:val="22"/>
              </w:rPr>
            </w:pPr>
            <w:r w:rsidRPr="00EA4FDC">
              <w:rPr>
                <w:szCs w:val="22"/>
              </w:rPr>
              <w:t>Velmi vzácné</w:t>
            </w:r>
          </w:p>
          <w:p w14:paraId="78E246FA" w14:textId="08148C55" w:rsidR="00295140" w:rsidRPr="00EA4FDC" w:rsidRDefault="007C0376" w:rsidP="00181E7D">
            <w:pPr>
              <w:spacing w:line="240" w:lineRule="auto"/>
              <w:rPr>
                <w:szCs w:val="22"/>
              </w:rPr>
            </w:pPr>
            <w:r w:rsidRPr="00EA4FDC">
              <w:rPr>
                <w:szCs w:val="22"/>
              </w:rPr>
              <w:t>(&lt;1</w:t>
            </w:r>
            <w:r w:rsidR="00BB6835" w:rsidRPr="00EA4FDC">
              <w:rPr>
                <w:szCs w:val="22"/>
              </w:rPr>
              <w:t>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F4948FB" w14:textId="77777777" w:rsidR="007F39AF" w:rsidRPr="0034204B" w:rsidRDefault="007F39AF" w:rsidP="002529F1">
            <w:pPr>
              <w:spacing w:before="60" w:after="60"/>
              <w:rPr>
                <w:szCs w:val="22"/>
              </w:rPr>
            </w:pPr>
            <w:r w:rsidRPr="0034204B">
              <w:rPr>
                <w:szCs w:val="22"/>
              </w:rPr>
              <w:t>Ztráta chuti k příjmu potravy</w:t>
            </w:r>
            <w:r w:rsidRPr="004268F9">
              <w:rPr>
                <w:szCs w:val="22"/>
                <w:vertAlign w:val="superscript"/>
              </w:rPr>
              <w:t>1</w:t>
            </w:r>
            <w:r w:rsidRPr="0034204B">
              <w:rPr>
                <w:szCs w:val="22"/>
              </w:rPr>
              <w:t>, skleslost</w:t>
            </w:r>
            <w:r w:rsidRPr="00A129F0">
              <w:rPr>
                <w:szCs w:val="22"/>
                <w:vertAlign w:val="superscript"/>
              </w:rPr>
              <w:t>1</w:t>
            </w:r>
          </w:p>
          <w:p w14:paraId="6981BD4B" w14:textId="77777777" w:rsidR="007F39AF" w:rsidRPr="0034204B" w:rsidRDefault="007F39AF">
            <w:pPr>
              <w:spacing w:before="60" w:after="60"/>
              <w:rPr>
                <w:iCs/>
                <w:szCs w:val="22"/>
              </w:rPr>
            </w:pPr>
            <w:r w:rsidRPr="0034204B">
              <w:rPr>
                <w:iCs/>
                <w:szCs w:val="22"/>
              </w:rPr>
              <w:t>Zvracení</w:t>
            </w:r>
            <w:r w:rsidRPr="00A129F0">
              <w:rPr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průjem</w:t>
            </w:r>
            <w:r w:rsidRPr="00A129F0">
              <w:rPr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>, krev v trusu</w:t>
            </w:r>
            <w:r w:rsidRPr="00A129F0">
              <w:rPr>
                <w:szCs w:val="22"/>
                <w:vertAlign w:val="superscript"/>
              </w:rPr>
              <w:t>1</w:t>
            </w:r>
            <w:r>
              <w:rPr>
                <w:szCs w:val="22"/>
                <w:vertAlign w:val="superscript"/>
              </w:rPr>
              <w:t>,2</w:t>
            </w:r>
            <w:r w:rsidRPr="0034204B">
              <w:rPr>
                <w:iCs/>
                <w:szCs w:val="22"/>
              </w:rPr>
              <w:t>, hemoragický průjem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>, hemateméza</w:t>
            </w:r>
            <w:r w:rsidRPr="00477537">
              <w:rPr>
                <w:iCs/>
                <w:szCs w:val="22"/>
                <w:vertAlign w:val="superscript"/>
              </w:rPr>
              <w:t>1</w:t>
            </w:r>
            <w:r w:rsidRPr="0034204B">
              <w:rPr>
                <w:iCs/>
                <w:szCs w:val="22"/>
              </w:rPr>
              <w:t xml:space="preserve">, </w:t>
            </w:r>
            <w:r>
              <w:rPr>
                <w:iCs/>
                <w:szCs w:val="22"/>
              </w:rPr>
              <w:t>žaludeční vřed</w:t>
            </w:r>
            <w:r w:rsidRPr="00A129F0">
              <w:rPr>
                <w:szCs w:val="22"/>
                <w:vertAlign w:val="superscript"/>
              </w:rPr>
              <w:t>1</w:t>
            </w:r>
            <w:r>
              <w:rPr>
                <w:szCs w:val="22"/>
              </w:rPr>
              <w:t xml:space="preserve">, </w:t>
            </w:r>
            <w:r>
              <w:rPr>
                <w:iCs/>
                <w:szCs w:val="22"/>
              </w:rPr>
              <w:t>vřed tenkého střeva</w:t>
            </w:r>
            <w:r w:rsidRPr="00477537">
              <w:rPr>
                <w:iCs/>
                <w:szCs w:val="22"/>
                <w:vertAlign w:val="superscript"/>
              </w:rPr>
              <w:t>1</w:t>
            </w:r>
          </w:p>
          <w:p w14:paraId="3147C6AE" w14:textId="77777777" w:rsidR="007F39AF" w:rsidRPr="0034204B" w:rsidRDefault="007F39AF">
            <w:pPr>
              <w:spacing w:before="60" w:after="60"/>
              <w:rPr>
                <w:iCs/>
                <w:szCs w:val="22"/>
              </w:rPr>
            </w:pPr>
            <w:r w:rsidRPr="0034204B">
              <w:rPr>
                <w:iCs/>
                <w:szCs w:val="22"/>
              </w:rPr>
              <w:t>Zvýšení hodnot jaterních enzymů</w:t>
            </w:r>
            <w:r w:rsidRPr="00477537">
              <w:rPr>
                <w:iCs/>
                <w:szCs w:val="22"/>
                <w:vertAlign w:val="superscript"/>
              </w:rPr>
              <w:t>1</w:t>
            </w:r>
          </w:p>
          <w:p w14:paraId="5D743162" w14:textId="299DD249" w:rsidR="007F39AF" w:rsidRDefault="007F39AF" w:rsidP="00181E7D">
            <w:pPr>
              <w:spacing w:line="240" w:lineRule="auto"/>
              <w:rPr>
                <w:szCs w:val="22"/>
              </w:rPr>
            </w:pPr>
            <w:r w:rsidRPr="0034204B">
              <w:rPr>
                <w:iCs/>
                <w:szCs w:val="22"/>
              </w:rPr>
              <w:t>Selhání ledvin</w:t>
            </w:r>
            <w:r w:rsidRPr="00A129F0">
              <w:rPr>
                <w:szCs w:val="22"/>
                <w:vertAlign w:val="superscript"/>
              </w:rPr>
              <w:t>1</w:t>
            </w:r>
          </w:p>
          <w:p w14:paraId="1BC9DFB5" w14:textId="275E72C2" w:rsidR="00295140" w:rsidRPr="00EA4FDC" w:rsidRDefault="00295140" w:rsidP="00181E7D">
            <w:pPr>
              <w:spacing w:line="240" w:lineRule="auto"/>
              <w:rPr>
                <w:szCs w:val="22"/>
              </w:rPr>
            </w:pPr>
          </w:p>
        </w:tc>
      </w:tr>
    </w:tbl>
    <w:p w14:paraId="1237B192" w14:textId="22469E68" w:rsidR="00B15993" w:rsidRDefault="00B15993" w:rsidP="00181E7D">
      <w:pPr>
        <w:spacing w:line="240" w:lineRule="auto"/>
        <w:jc w:val="both"/>
        <w:rPr>
          <w:szCs w:val="22"/>
        </w:rPr>
      </w:pPr>
      <w:r w:rsidRPr="004268F9">
        <w:rPr>
          <w:szCs w:val="22"/>
          <w:vertAlign w:val="superscript"/>
        </w:rPr>
        <w:t>1</w:t>
      </w:r>
      <w:r w:rsidR="00590162" w:rsidRPr="00EA4FDC">
        <w:rPr>
          <w:szCs w:val="22"/>
        </w:rPr>
        <w:t xml:space="preserve">Tyto </w:t>
      </w:r>
      <w:r w:rsidR="00DF7263">
        <w:rPr>
          <w:szCs w:val="22"/>
        </w:rPr>
        <w:t>nežádoucí</w:t>
      </w:r>
      <w:r w:rsidR="00590162" w:rsidRPr="00EA4FDC">
        <w:rPr>
          <w:szCs w:val="22"/>
        </w:rPr>
        <w:t xml:space="preserve"> účinky se objevují obvykle v průběhu prvního týdne léčby a jsou ve většině případů přechodné a vymizí po ukončení léčby</w:t>
      </w:r>
      <w:r w:rsidR="00237321">
        <w:rPr>
          <w:szCs w:val="22"/>
        </w:rPr>
        <w:t xml:space="preserve">, </w:t>
      </w:r>
      <w:r w:rsidR="00590162" w:rsidRPr="00EA4FDC">
        <w:rPr>
          <w:szCs w:val="22"/>
        </w:rPr>
        <w:t xml:space="preserve">ve velmi vzácných případech mohou být vážné nebo až fatální. </w:t>
      </w:r>
    </w:p>
    <w:p w14:paraId="1315165F" w14:textId="7A860588" w:rsidR="00B15993" w:rsidRPr="00237321" w:rsidRDefault="00B15993" w:rsidP="00181E7D">
      <w:pPr>
        <w:spacing w:line="240" w:lineRule="auto"/>
        <w:jc w:val="both"/>
        <w:rPr>
          <w:szCs w:val="22"/>
        </w:rPr>
      </w:pPr>
      <w:r>
        <w:rPr>
          <w:szCs w:val="22"/>
          <w:vertAlign w:val="superscript"/>
        </w:rPr>
        <w:t>2</w:t>
      </w:r>
      <w:r w:rsidR="00237321">
        <w:rPr>
          <w:szCs w:val="22"/>
        </w:rPr>
        <w:t xml:space="preserve"> Okultní</w:t>
      </w:r>
    </w:p>
    <w:p w14:paraId="68F46395" w14:textId="77777777" w:rsidR="00B15993" w:rsidRDefault="00B15993" w:rsidP="00181E7D">
      <w:pPr>
        <w:spacing w:line="240" w:lineRule="auto"/>
        <w:jc w:val="both"/>
        <w:rPr>
          <w:szCs w:val="22"/>
        </w:rPr>
      </w:pPr>
    </w:p>
    <w:p w14:paraId="0A51894E" w14:textId="2B07E54C" w:rsidR="00590162" w:rsidRPr="00EA4FDC" w:rsidRDefault="00590162" w:rsidP="00181E7D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Dojde-li k nežádoucím reakcím, je nutno léčbu přerušit a poradit se s veterinárním lékařem.</w:t>
      </w:r>
    </w:p>
    <w:p w14:paraId="1D616E5A" w14:textId="77777777" w:rsidR="00295140" w:rsidRPr="00EA4FDC" w:rsidRDefault="00295140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DD32652" w14:textId="29F70A76" w:rsidR="00247A48" w:rsidRPr="00EA4FDC" w:rsidRDefault="007C0376" w:rsidP="008E7308">
      <w:pPr>
        <w:spacing w:line="240" w:lineRule="auto"/>
        <w:jc w:val="both"/>
        <w:rPr>
          <w:szCs w:val="22"/>
        </w:rPr>
      </w:pPr>
      <w:bookmarkStart w:id="1" w:name="_Hlk66891708"/>
      <w:r w:rsidRPr="00EA4FDC">
        <w:rPr>
          <w:szCs w:val="22"/>
        </w:rPr>
        <w:t>Hlášení nežádoucích účinků je důležité. Umožňuje nepřetržité sledování bezpečnosti veterinárního léčivého přípravku. Hlášení je třeba zaslat</w:t>
      </w:r>
      <w:r w:rsidR="005272F4" w:rsidRPr="00EA4FDC">
        <w:rPr>
          <w:szCs w:val="22"/>
        </w:rPr>
        <w:t>,</w:t>
      </w:r>
      <w:r w:rsidRPr="00EA4FDC">
        <w:rPr>
          <w:szCs w:val="22"/>
        </w:rPr>
        <w:t xml:space="preserve"> pokud možno</w:t>
      </w:r>
      <w:r w:rsidR="005272F4" w:rsidRPr="00EA4FDC">
        <w:rPr>
          <w:szCs w:val="22"/>
        </w:rPr>
        <w:t>,</w:t>
      </w:r>
      <w:r w:rsidRPr="00EA4FDC">
        <w:rPr>
          <w:szCs w:val="22"/>
        </w:rPr>
        <w:t xml:space="preserve"> prostřednictvím veterinárního lékaře</w:t>
      </w:r>
      <w:r w:rsidR="00562715" w:rsidRPr="00EA4FDC">
        <w:rPr>
          <w:szCs w:val="22"/>
        </w:rPr>
        <w:t>,</w:t>
      </w:r>
      <w:r w:rsidRPr="00EA4FDC">
        <w:rPr>
          <w:szCs w:val="22"/>
        </w:rPr>
        <w:t xml:space="preserve"> buď držiteli rozhodnutí o registraci, nebo příslušnému vnitrostátnímu orgánu prostřednictvím národního systému hlášení. </w:t>
      </w:r>
      <w:bookmarkStart w:id="2" w:name="_Hlk184130880"/>
      <w:r w:rsidRPr="00EA4FDC">
        <w:rPr>
          <w:szCs w:val="22"/>
        </w:rPr>
        <w:t>Podrobné kontaktní údaje naleznete</w:t>
      </w:r>
      <w:bookmarkEnd w:id="2"/>
      <w:r w:rsidRPr="00EA4FDC">
        <w:rPr>
          <w:szCs w:val="22"/>
        </w:rPr>
        <w:t xml:space="preserve"> </w:t>
      </w:r>
      <w:r w:rsidR="00067023" w:rsidRPr="00EA4FDC">
        <w:rPr>
          <w:szCs w:val="22"/>
        </w:rPr>
        <w:t xml:space="preserve">v </w:t>
      </w:r>
      <w:r w:rsidRPr="00EA4FDC">
        <w:rPr>
          <w:szCs w:val="22"/>
        </w:rPr>
        <w:t>příbalové informac</w:t>
      </w:r>
      <w:r w:rsidR="00863A6D" w:rsidRPr="00EA4FDC">
        <w:rPr>
          <w:szCs w:val="22"/>
        </w:rPr>
        <w:t>i</w:t>
      </w:r>
      <w:r w:rsidRPr="00EA4FDC">
        <w:rPr>
          <w:szCs w:val="22"/>
        </w:rPr>
        <w:t>.</w:t>
      </w:r>
    </w:p>
    <w:bookmarkEnd w:id="1"/>
    <w:p w14:paraId="6871F765" w14:textId="77777777" w:rsidR="00247A48" w:rsidRPr="00EA4FDC" w:rsidRDefault="00247A48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72CD533" w14:textId="77777777" w:rsidR="00C114FF" w:rsidRPr="00EA4FDC" w:rsidRDefault="007C0376" w:rsidP="008E7308">
      <w:pPr>
        <w:pStyle w:val="Style1"/>
        <w:jc w:val="both"/>
      </w:pPr>
      <w:r w:rsidRPr="00EA4FDC">
        <w:t>3.7</w:t>
      </w:r>
      <w:r w:rsidRPr="00EA4FDC">
        <w:tab/>
        <w:t>Použití v průběhu březosti, laktace nebo snášky</w:t>
      </w:r>
    </w:p>
    <w:p w14:paraId="0DFBFADE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7C179A" w14:textId="3BBEBF62" w:rsidR="00FE6168" w:rsidRPr="00EA4FDC" w:rsidRDefault="00FE6168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 xml:space="preserve">Nebyla stanovena bezpečnost veterinárního léčivého přípravku pro použití během březosti a laktace </w:t>
      </w:r>
      <w:r w:rsidRPr="00181E7D">
        <w:rPr>
          <w:szCs w:val="22"/>
        </w:rPr>
        <w:t xml:space="preserve">(viz bod </w:t>
      </w:r>
      <w:r w:rsidR="00B36CCB" w:rsidRPr="00181E7D">
        <w:rPr>
          <w:szCs w:val="22"/>
        </w:rPr>
        <w:t>3</w:t>
      </w:r>
      <w:r w:rsidRPr="00181E7D">
        <w:rPr>
          <w:szCs w:val="22"/>
        </w:rPr>
        <w:t>.3).</w:t>
      </w:r>
    </w:p>
    <w:p w14:paraId="45A16993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C5C1959" w14:textId="77777777" w:rsidR="00C114FF" w:rsidRPr="00EA4FDC" w:rsidRDefault="007C0376" w:rsidP="008E7308">
      <w:pPr>
        <w:pStyle w:val="Style1"/>
        <w:jc w:val="both"/>
      </w:pPr>
      <w:r w:rsidRPr="00EA4FDC">
        <w:t>3.8</w:t>
      </w:r>
      <w:r w:rsidRPr="00EA4FDC">
        <w:tab/>
        <w:t>Interakce s jinými léčivými přípravky a další formy interakce</w:t>
      </w:r>
    </w:p>
    <w:p w14:paraId="54454937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E55C696" w14:textId="29FF5104" w:rsidR="00DB42DE" w:rsidRPr="00EA4FDC" w:rsidRDefault="00DB42DE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Jiná</w:t>
      </w:r>
      <w:r w:rsidR="005B4948">
        <w:rPr>
          <w:szCs w:val="22"/>
        </w:rPr>
        <w:t xml:space="preserve"> </w:t>
      </w:r>
      <w:r w:rsidRPr="00EA4FDC">
        <w:rPr>
          <w:szCs w:val="22"/>
        </w:rPr>
        <w:t xml:space="preserve">NSAID, diuretika, antikoagulancia, </w:t>
      </w:r>
      <w:proofErr w:type="spellStart"/>
      <w:r w:rsidRPr="00EA4FDC">
        <w:rPr>
          <w:szCs w:val="22"/>
        </w:rPr>
        <w:t>aminoglykosidová</w:t>
      </w:r>
      <w:proofErr w:type="spellEnd"/>
      <w:r w:rsidRPr="00EA4FDC">
        <w:rPr>
          <w:szCs w:val="22"/>
        </w:rPr>
        <w:t xml:space="preserve"> antibiotika a látky vázající ve vysokém stupni bílkoviny, mohou vazebně konkurovat a navodit toxické účinky. </w:t>
      </w:r>
      <w:r w:rsidR="005B4948">
        <w:rPr>
          <w:szCs w:val="22"/>
        </w:rPr>
        <w:t>Veterinární léčivý p</w:t>
      </w:r>
      <w:r w:rsidRPr="00EA4FDC">
        <w:rPr>
          <w:szCs w:val="22"/>
        </w:rPr>
        <w:t xml:space="preserve">řípravek se nesmí podávat současně s jinými NSAID nebo s </w:t>
      </w:r>
      <w:proofErr w:type="spellStart"/>
      <w:r w:rsidRPr="00EA4FDC">
        <w:rPr>
          <w:szCs w:val="22"/>
        </w:rPr>
        <w:t>glukokortikosteroidy</w:t>
      </w:r>
      <w:proofErr w:type="spellEnd"/>
      <w:r w:rsidRPr="00EA4FDC">
        <w:rPr>
          <w:szCs w:val="22"/>
        </w:rPr>
        <w:t>.</w:t>
      </w:r>
    </w:p>
    <w:p w14:paraId="5BB020E9" w14:textId="52736FE5" w:rsidR="00DB42DE" w:rsidRPr="00EA4FDC" w:rsidRDefault="00DB42DE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lastRenderedPageBreak/>
        <w:t>Předchozí léčba protizánětlivými l</w:t>
      </w:r>
      <w:r w:rsidR="005B4948">
        <w:rPr>
          <w:szCs w:val="22"/>
        </w:rPr>
        <w:t>éčivy</w:t>
      </w:r>
      <w:r w:rsidRPr="00EA4FDC">
        <w:rPr>
          <w:szCs w:val="22"/>
        </w:rPr>
        <w:t xml:space="preserve"> může navodit další nebo zesílené nežádoucí účinky, proto je nutno před zahájením podávání začlenit období nejméně 24 hodin zcela bez léčby obdobnými lé</w:t>
      </w:r>
      <w:r w:rsidR="005B4948">
        <w:rPr>
          <w:szCs w:val="22"/>
        </w:rPr>
        <w:t>čivy</w:t>
      </w:r>
      <w:r w:rsidRPr="00EA4FDC">
        <w:rPr>
          <w:szCs w:val="22"/>
        </w:rPr>
        <w:t>. Délka tohoto období bez léčby se však musí řídit podle farmakologických vlastností předchozího použitého přípravku.</w:t>
      </w:r>
    </w:p>
    <w:p w14:paraId="0B86F3A7" w14:textId="77777777" w:rsidR="00C90EDA" w:rsidRPr="00EA4FDC" w:rsidRDefault="00C90EDA" w:rsidP="00EA4FDC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EA4FDC" w:rsidRDefault="007C0376" w:rsidP="00EA4FDC">
      <w:pPr>
        <w:pStyle w:val="Style1"/>
      </w:pPr>
      <w:r w:rsidRPr="00EA4FDC">
        <w:t>3.9</w:t>
      </w:r>
      <w:r w:rsidRPr="00EA4FDC">
        <w:tab/>
        <w:t>Cesty podání a dávkování</w:t>
      </w:r>
    </w:p>
    <w:p w14:paraId="0C31E074" w14:textId="77777777" w:rsidR="00145D34" w:rsidRPr="00EA4FDC" w:rsidRDefault="00145D34" w:rsidP="00EA4FDC">
      <w:pPr>
        <w:tabs>
          <w:tab w:val="clear" w:pos="567"/>
        </w:tabs>
        <w:spacing w:line="240" w:lineRule="auto"/>
        <w:rPr>
          <w:szCs w:val="22"/>
        </w:rPr>
      </w:pPr>
    </w:p>
    <w:p w14:paraId="1D6E6C76" w14:textId="31988CA5" w:rsidR="00DB42DE" w:rsidRPr="00EA4FDC" w:rsidRDefault="00DB42DE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 xml:space="preserve">Perorální podání, v krmivu nebo přímo do </w:t>
      </w:r>
      <w:r w:rsidR="005B4948">
        <w:rPr>
          <w:szCs w:val="22"/>
        </w:rPr>
        <w:t>dutiny ústní</w:t>
      </w:r>
      <w:r w:rsidR="005B4948" w:rsidRPr="00EA4FDC">
        <w:rPr>
          <w:szCs w:val="22"/>
        </w:rPr>
        <w:t xml:space="preserve"> </w:t>
      </w:r>
      <w:r w:rsidRPr="00EA4FDC">
        <w:rPr>
          <w:szCs w:val="22"/>
        </w:rPr>
        <w:t>zvířete.</w:t>
      </w:r>
    </w:p>
    <w:p w14:paraId="3043B8CB" w14:textId="77777777" w:rsidR="00DB42DE" w:rsidRPr="00EA4FDC" w:rsidRDefault="00DB42DE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 xml:space="preserve">Před použitím dobře protřepat. </w:t>
      </w:r>
    </w:p>
    <w:p w14:paraId="311519FD" w14:textId="77777777" w:rsidR="00DB42DE" w:rsidRPr="00EA4FDC" w:rsidRDefault="00DB42DE" w:rsidP="00EA4FDC">
      <w:pPr>
        <w:spacing w:line="240" w:lineRule="auto"/>
        <w:jc w:val="both"/>
        <w:rPr>
          <w:szCs w:val="22"/>
        </w:rPr>
      </w:pPr>
    </w:p>
    <w:p w14:paraId="1192DB60" w14:textId="7347B410" w:rsidR="00DB42DE" w:rsidRPr="00EA4FDC" w:rsidRDefault="00DB42DE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Léčba se první den zahajuje jednorázovou dávkou 0,2 mg meloxikamu/kg ž</w:t>
      </w:r>
      <w:r w:rsidR="005B4948">
        <w:rPr>
          <w:szCs w:val="22"/>
        </w:rPr>
        <w:t>.</w:t>
      </w:r>
      <w:r w:rsidRPr="00EA4FDC">
        <w:rPr>
          <w:szCs w:val="22"/>
        </w:rPr>
        <w:t>hm</w:t>
      </w:r>
      <w:r w:rsidR="005B4948">
        <w:rPr>
          <w:szCs w:val="22"/>
        </w:rPr>
        <w:t>.</w:t>
      </w:r>
      <w:r w:rsidRPr="00EA4FDC">
        <w:rPr>
          <w:szCs w:val="22"/>
        </w:rPr>
        <w:t xml:space="preserve">, tj. 1 ml </w:t>
      </w:r>
      <w:r w:rsidR="005B4948">
        <w:rPr>
          <w:szCs w:val="22"/>
        </w:rPr>
        <w:t xml:space="preserve">veterinárního léčivého </w:t>
      </w:r>
      <w:r w:rsidRPr="00EA4FDC">
        <w:rPr>
          <w:szCs w:val="22"/>
        </w:rPr>
        <w:t>přípravku/7,5 kg ž.hm. Léčba pokračuje podáváním udržovací dávky 0,1 mg meloxikamu/kg ž</w:t>
      </w:r>
      <w:r w:rsidR="005B4948">
        <w:rPr>
          <w:szCs w:val="22"/>
        </w:rPr>
        <w:t>.</w:t>
      </w:r>
      <w:r w:rsidRPr="00EA4FDC">
        <w:rPr>
          <w:szCs w:val="22"/>
        </w:rPr>
        <w:t>hm</w:t>
      </w:r>
      <w:r w:rsidR="005B4948">
        <w:rPr>
          <w:szCs w:val="22"/>
        </w:rPr>
        <w:t>.</w:t>
      </w:r>
      <w:r w:rsidRPr="00EA4FDC">
        <w:rPr>
          <w:szCs w:val="22"/>
        </w:rPr>
        <w:t xml:space="preserve">, tj. 1 ml </w:t>
      </w:r>
      <w:r w:rsidR="005B4948">
        <w:rPr>
          <w:szCs w:val="22"/>
        </w:rPr>
        <w:t xml:space="preserve">veterinárního léčivého </w:t>
      </w:r>
      <w:r w:rsidRPr="00EA4FDC">
        <w:rPr>
          <w:szCs w:val="22"/>
        </w:rPr>
        <w:t>přípravku/ 15 kg ž.hm. jednou denně ve 24hodinových intervalech.</w:t>
      </w:r>
    </w:p>
    <w:p w14:paraId="49F6AAE5" w14:textId="77777777" w:rsidR="00DB42DE" w:rsidRPr="00EA4FDC" w:rsidRDefault="00DB42DE" w:rsidP="00EA4FDC">
      <w:pPr>
        <w:spacing w:line="240" w:lineRule="auto"/>
        <w:jc w:val="both"/>
        <w:rPr>
          <w:szCs w:val="22"/>
        </w:rPr>
      </w:pPr>
    </w:p>
    <w:p w14:paraId="1706F5CD" w14:textId="20D3D209" w:rsidR="00DB42DE" w:rsidRPr="00EA4FDC" w:rsidRDefault="00DB42DE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 xml:space="preserve">Pro dlouhodobou </w:t>
      </w:r>
      <w:r w:rsidR="004774B1">
        <w:rPr>
          <w:szCs w:val="22"/>
        </w:rPr>
        <w:t>léčbu</w:t>
      </w:r>
      <w:r w:rsidR="004774B1" w:rsidRPr="00EA4FDC">
        <w:rPr>
          <w:szCs w:val="22"/>
        </w:rPr>
        <w:t xml:space="preserve"> </w:t>
      </w:r>
      <w:r w:rsidRPr="00EA4FDC">
        <w:rPr>
          <w:szCs w:val="22"/>
        </w:rPr>
        <w:t>lze po dosažení klinické odezvy na léčbu (po 4 a více dnech) nastavit dávkování na nejnižší účinnou individuální dávku odpovídající stupni bolesti a zánětu spojeného s chronickým muskuloskeletálním onemocněním. Tato dávka se může časem měnit.</w:t>
      </w:r>
    </w:p>
    <w:p w14:paraId="01106E73" w14:textId="77777777" w:rsidR="00DB42DE" w:rsidRPr="00EA4FDC" w:rsidRDefault="00DB42DE" w:rsidP="00EA4FDC">
      <w:pPr>
        <w:spacing w:line="240" w:lineRule="auto"/>
        <w:jc w:val="both"/>
        <w:rPr>
          <w:szCs w:val="22"/>
          <w:highlight w:val="lightGray"/>
        </w:rPr>
      </w:pPr>
    </w:p>
    <w:p w14:paraId="6E69F55C" w14:textId="77777777" w:rsidR="00DB42DE" w:rsidRPr="00EA4FDC" w:rsidRDefault="00DB42DE" w:rsidP="00EA4FDC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Zvláštní pozornost je nutno věnovat přesnému dávkování.</w:t>
      </w:r>
    </w:p>
    <w:p w14:paraId="71F6C47B" w14:textId="77777777" w:rsidR="00DB42DE" w:rsidRPr="00EA4FDC" w:rsidRDefault="00DB42DE" w:rsidP="00EA4FDC">
      <w:pPr>
        <w:spacing w:line="240" w:lineRule="auto"/>
        <w:jc w:val="both"/>
        <w:rPr>
          <w:szCs w:val="22"/>
          <w:highlight w:val="lightGray"/>
        </w:rPr>
      </w:pPr>
    </w:p>
    <w:p w14:paraId="22DC8404" w14:textId="125D1105" w:rsidR="00DB42DE" w:rsidRPr="00EA4FDC" w:rsidRDefault="00DB42DE" w:rsidP="00EA4FDC">
      <w:pPr>
        <w:spacing w:line="240" w:lineRule="auto"/>
        <w:jc w:val="both"/>
        <w:rPr>
          <w:szCs w:val="22"/>
        </w:rPr>
      </w:pPr>
      <w:bookmarkStart w:id="3" w:name="_Hlk237419151"/>
      <w:r w:rsidRPr="00EA4FDC">
        <w:rPr>
          <w:szCs w:val="22"/>
        </w:rPr>
        <w:t>Suspenze se podává pomocí perorálního aplikátoru o objemu 1 ml nebo 5 ml. Aplikátory zapadají do inzertů v hrdle lahviček</w:t>
      </w:r>
      <w:r w:rsidR="000656EC" w:rsidRPr="00EA4FDC">
        <w:rPr>
          <w:szCs w:val="22"/>
        </w:rPr>
        <w:t>.</w:t>
      </w:r>
      <w:r w:rsidRPr="00EA4FDC">
        <w:rPr>
          <w:szCs w:val="22"/>
        </w:rPr>
        <w:t xml:space="preserve"> Uzávěry lahviček jsou opatřeny dětskou pojistkou.</w:t>
      </w:r>
    </w:p>
    <w:bookmarkEnd w:id="3"/>
    <w:p w14:paraId="1C71BC54" w14:textId="575F5FB3" w:rsidR="00DB42DE" w:rsidRPr="00EA4FDC" w:rsidRDefault="00DB42DE" w:rsidP="00EA4FDC">
      <w:pPr>
        <w:spacing w:line="240" w:lineRule="auto"/>
        <w:jc w:val="both"/>
        <w:rPr>
          <w:szCs w:val="22"/>
        </w:rPr>
      </w:pPr>
      <w:r w:rsidRPr="00EA4FDC">
        <w:rPr>
          <w:noProof/>
          <w:color w:val="000000"/>
          <w:szCs w:val="22"/>
          <w:lang w:eastAsia="en-GB"/>
        </w:rPr>
        <w:drawing>
          <wp:anchor distT="0" distB="0" distL="114300" distR="114300" simplePos="0" relativeHeight="251658240" behindDoc="0" locked="0" layoutInCell="1" allowOverlap="1" wp14:anchorId="30367596" wp14:editId="2E951A23">
            <wp:simplePos x="0" y="0"/>
            <wp:positionH relativeFrom="column">
              <wp:posOffset>3509645</wp:posOffset>
            </wp:positionH>
            <wp:positionV relativeFrom="paragraph">
              <wp:posOffset>125730</wp:posOffset>
            </wp:positionV>
            <wp:extent cx="973455" cy="1267460"/>
            <wp:effectExtent l="0" t="0" r="0" b="8890"/>
            <wp:wrapSquare wrapText="bothSides"/>
            <wp:docPr id="2" name="obrázek 2" descr="SPC_schema_podani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C_schema_podani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504C24" w14:textId="09387EA6" w:rsidR="00247A48" w:rsidRPr="00EA4FDC" w:rsidRDefault="00DB42DE" w:rsidP="00EA4FDC">
      <w:pPr>
        <w:tabs>
          <w:tab w:val="clear" w:pos="567"/>
        </w:tabs>
        <w:spacing w:line="240" w:lineRule="auto"/>
        <w:rPr>
          <w:szCs w:val="22"/>
        </w:rPr>
      </w:pPr>
      <w:r w:rsidRPr="00EA4FDC">
        <w:rPr>
          <w:noProof/>
          <w:color w:val="000000"/>
          <w:szCs w:val="22"/>
          <w:lang w:eastAsia="en-GB"/>
        </w:rPr>
        <w:drawing>
          <wp:anchor distT="0" distB="0" distL="114300" distR="114300" simplePos="0" relativeHeight="251659264" behindDoc="0" locked="0" layoutInCell="1" allowOverlap="1" wp14:anchorId="31538DEB" wp14:editId="350D4DCA">
            <wp:simplePos x="0" y="0"/>
            <wp:positionH relativeFrom="column">
              <wp:posOffset>4445</wp:posOffset>
            </wp:positionH>
            <wp:positionV relativeFrom="paragraph">
              <wp:posOffset>-1270</wp:posOffset>
            </wp:positionV>
            <wp:extent cx="963930" cy="991235"/>
            <wp:effectExtent l="0" t="0" r="7620" b="0"/>
            <wp:wrapSquare wrapText="bothSides"/>
            <wp:docPr id="1" name="obrázek 1" descr="SPC_schema_pod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C_schema_podan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9BFD7C" w14:textId="77777777" w:rsidR="00DB42DE" w:rsidRPr="00EA4FDC" w:rsidRDefault="00DB42DE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3A10EA0" w14:textId="77777777" w:rsidR="00DB42DE" w:rsidRPr="00EA4FDC" w:rsidRDefault="00DB42DE" w:rsidP="00EA4FDC">
      <w:pPr>
        <w:tabs>
          <w:tab w:val="clear" w:pos="567"/>
        </w:tabs>
        <w:spacing w:line="240" w:lineRule="auto"/>
        <w:rPr>
          <w:szCs w:val="22"/>
        </w:rPr>
      </w:pPr>
    </w:p>
    <w:p w14:paraId="3EB1DCCE" w14:textId="77777777" w:rsidR="00DB42DE" w:rsidRPr="00EA4FDC" w:rsidRDefault="00DB42DE" w:rsidP="00EA4FDC">
      <w:pPr>
        <w:tabs>
          <w:tab w:val="clear" w:pos="567"/>
        </w:tabs>
        <w:spacing w:line="240" w:lineRule="auto"/>
        <w:rPr>
          <w:szCs w:val="22"/>
        </w:rPr>
      </w:pPr>
    </w:p>
    <w:p w14:paraId="21E66F7E" w14:textId="77777777" w:rsidR="00DB42DE" w:rsidRPr="00EA4FDC" w:rsidRDefault="00DB42DE" w:rsidP="00EA4FDC">
      <w:pPr>
        <w:tabs>
          <w:tab w:val="clear" w:pos="567"/>
        </w:tabs>
        <w:spacing w:line="240" w:lineRule="auto"/>
        <w:rPr>
          <w:szCs w:val="22"/>
        </w:rPr>
      </w:pPr>
    </w:p>
    <w:p w14:paraId="4D844A4A" w14:textId="77777777" w:rsidR="00DB42DE" w:rsidRPr="00EA4FDC" w:rsidRDefault="00DB42DE" w:rsidP="00EA4FDC">
      <w:pPr>
        <w:pStyle w:val="Style1"/>
      </w:pPr>
    </w:p>
    <w:p w14:paraId="417BAC88" w14:textId="77777777" w:rsidR="00DB42DE" w:rsidRPr="00EA4FDC" w:rsidRDefault="00DB42DE" w:rsidP="00EA4FDC">
      <w:pPr>
        <w:pStyle w:val="Style1"/>
      </w:pPr>
    </w:p>
    <w:p w14:paraId="6DF8A079" w14:textId="77777777" w:rsidR="00DB42DE" w:rsidRPr="00EA4FDC" w:rsidRDefault="00DB42DE" w:rsidP="00EA4FDC">
      <w:pPr>
        <w:pStyle w:val="Style1"/>
      </w:pPr>
    </w:p>
    <w:p w14:paraId="269CE730" w14:textId="6D58BB53" w:rsidR="00DB42DE" w:rsidRPr="00EA4FDC" w:rsidRDefault="00DB42DE" w:rsidP="00EA4FDC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EA4FDC">
        <w:rPr>
          <w:color w:val="000000"/>
          <w:szCs w:val="22"/>
          <w:lang w:eastAsia="en-GB"/>
        </w:rPr>
        <w:t xml:space="preserve">Lahev dobře protřepat.                                                      Obrátit lahev dnem vzhůru.                  </w:t>
      </w:r>
    </w:p>
    <w:p w14:paraId="6C5DD395" w14:textId="799E67EA" w:rsidR="00DB42DE" w:rsidRPr="00EA4FDC" w:rsidRDefault="00DB42DE" w:rsidP="00EA4FDC">
      <w:pPr>
        <w:autoSpaceDE w:val="0"/>
        <w:autoSpaceDN w:val="0"/>
        <w:adjustRightInd w:val="0"/>
        <w:spacing w:line="240" w:lineRule="auto"/>
        <w:ind w:right="-143"/>
        <w:rPr>
          <w:color w:val="000000"/>
          <w:szCs w:val="22"/>
          <w:lang w:eastAsia="en-GB"/>
        </w:rPr>
      </w:pPr>
      <w:r w:rsidRPr="00EA4FDC">
        <w:rPr>
          <w:color w:val="000000"/>
          <w:szCs w:val="22"/>
          <w:lang w:eastAsia="en-GB"/>
        </w:rPr>
        <w:t>Stlačit a odšroubovat uzávěr.                                            Nasát aplikátorem</w:t>
      </w:r>
      <w:r w:rsidR="0090315B" w:rsidRPr="00EA4FDC">
        <w:rPr>
          <w:color w:val="000000"/>
          <w:szCs w:val="22"/>
          <w:lang w:eastAsia="en-GB"/>
        </w:rPr>
        <w:t xml:space="preserve"> p</w:t>
      </w:r>
      <w:r w:rsidR="006D53D9" w:rsidRPr="00EA4FDC">
        <w:rPr>
          <w:color w:val="000000"/>
          <w:szCs w:val="22"/>
          <w:lang w:eastAsia="en-GB"/>
        </w:rPr>
        <w:t>o</w:t>
      </w:r>
      <w:r w:rsidRPr="00EA4FDC">
        <w:rPr>
          <w:color w:val="000000"/>
          <w:szCs w:val="22"/>
          <w:lang w:eastAsia="en-GB"/>
        </w:rPr>
        <w:t xml:space="preserve">žadovanou                                                                                                                                                                                                   </w:t>
      </w:r>
    </w:p>
    <w:p w14:paraId="668AEF57" w14:textId="6E858C03" w:rsidR="00DB42DE" w:rsidRPr="00EA4FDC" w:rsidRDefault="00DB42DE" w:rsidP="00EA4FDC">
      <w:pPr>
        <w:tabs>
          <w:tab w:val="clear" w:pos="567"/>
          <w:tab w:val="left" w:pos="0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EA4FDC">
        <w:rPr>
          <w:color w:val="000000"/>
          <w:szCs w:val="22"/>
          <w:lang w:eastAsia="en-GB"/>
        </w:rPr>
        <w:t>Aplikátor nasadit do dávkovací vložk</w:t>
      </w:r>
      <w:r w:rsidR="006D53D9" w:rsidRPr="00EA4FDC">
        <w:rPr>
          <w:color w:val="000000"/>
          <w:szCs w:val="22"/>
          <w:lang w:eastAsia="en-GB"/>
        </w:rPr>
        <w:t>y</w:t>
      </w:r>
      <w:r w:rsidRPr="00EA4FDC">
        <w:rPr>
          <w:color w:val="000000"/>
          <w:szCs w:val="22"/>
          <w:lang w:eastAsia="en-GB"/>
        </w:rPr>
        <w:t xml:space="preserve">  </w:t>
      </w:r>
      <w:r w:rsidR="006D53D9" w:rsidRPr="00EA4FDC">
        <w:rPr>
          <w:color w:val="000000"/>
          <w:szCs w:val="22"/>
          <w:lang w:eastAsia="en-GB"/>
        </w:rPr>
        <w:t xml:space="preserve">                          </w:t>
      </w:r>
      <w:r w:rsidR="00B36CCB" w:rsidRPr="00EA4FDC">
        <w:rPr>
          <w:color w:val="000000"/>
          <w:szCs w:val="22"/>
          <w:lang w:eastAsia="en-GB"/>
        </w:rPr>
        <w:t>d</w:t>
      </w:r>
      <w:r w:rsidR="006D53D9" w:rsidRPr="00EA4FDC">
        <w:rPr>
          <w:color w:val="000000"/>
          <w:szCs w:val="22"/>
          <w:lang w:eastAsia="en-GB"/>
        </w:rPr>
        <w:t>ávku.</w:t>
      </w:r>
      <w:r w:rsidRPr="00EA4FDC">
        <w:rPr>
          <w:color w:val="000000"/>
          <w:szCs w:val="22"/>
          <w:lang w:eastAsia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0CD251" w14:textId="77777777" w:rsidR="00DB42DE" w:rsidRPr="00EA4FDC" w:rsidRDefault="00DB42DE" w:rsidP="00EA4FDC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EA4FDC">
        <w:rPr>
          <w:color w:val="000000"/>
          <w:szCs w:val="22"/>
          <w:lang w:eastAsia="en-GB"/>
        </w:rPr>
        <w:t>v hrdle lahve.</w:t>
      </w:r>
    </w:p>
    <w:p w14:paraId="5AB87128" w14:textId="77777777" w:rsidR="00DB42DE" w:rsidRPr="00EA4FDC" w:rsidRDefault="00DB42DE" w:rsidP="00EA4FDC">
      <w:pPr>
        <w:pStyle w:val="Style1"/>
      </w:pPr>
    </w:p>
    <w:p w14:paraId="75B69759" w14:textId="0E6B9804" w:rsidR="00DB42DE" w:rsidRPr="00EA4FDC" w:rsidRDefault="00DB42DE" w:rsidP="00EA4FDC">
      <w:pPr>
        <w:pStyle w:val="Style1"/>
      </w:pPr>
    </w:p>
    <w:p w14:paraId="3EC42CB9" w14:textId="4287D2A0" w:rsidR="00DB42DE" w:rsidRPr="00EA4FDC" w:rsidRDefault="00DB42DE" w:rsidP="00EA4FDC">
      <w:pPr>
        <w:pStyle w:val="Style1"/>
      </w:pPr>
      <w:r w:rsidRPr="00EA4FDC">
        <w:rPr>
          <w:noProof/>
        </w:rPr>
        <w:drawing>
          <wp:anchor distT="0" distB="0" distL="114300" distR="114300" simplePos="0" relativeHeight="251661312" behindDoc="1" locked="0" layoutInCell="1" allowOverlap="1" wp14:anchorId="425D5487" wp14:editId="2A780015">
            <wp:simplePos x="0" y="0"/>
            <wp:positionH relativeFrom="column">
              <wp:posOffset>3155315</wp:posOffset>
            </wp:positionH>
            <wp:positionV relativeFrom="paragraph">
              <wp:posOffset>7620</wp:posOffset>
            </wp:positionV>
            <wp:extent cx="1024255" cy="1257935"/>
            <wp:effectExtent l="0" t="0" r="4445" b="0"/>
            <wp:wrapTight wrapText="bothSides">
              <wp:wrapPolygon edited="0">
                <wp:start x="10043" y="0"/>
                <wp:lineTo x="8436" y="654"/>
                <wp:lineTo x="7633" y="2944"/>
                <wp:lineTo x="8035" y="5234"/>
                <wp:lineTo x="5624" y="6869"/>
                <wp:lineTo x="4821" y="10467"/>
                <wp:lineTo x="1205" y="15701"/>
                <wp:lineTo x="0" y="16028"/>
                <wp:lineTo x="0" y="20935"/>
                <wp:lineTo x="402" y="21262"/>
                <wp:lineTo x="1607" y="21262"/>
                <wp:lineTo x="16069" y="21262"/>
                <wp:lineTo x="16471" y="21262"/>
                <wp:lineTo x="17676" y="20935"/>
                <wp:lineTo x="18078" y="18972"/>
                <wp:lineTo x="16471" y="16028"/>
                <wp:lineTo x="14462" y="15701"/>
                <wp:lineTo x="21292" y="10795"/>
                <wp:lineTo x="21292" y="4907"/>
                <wp:lineTo x="14462" y="654"/>
                <wp:lineTo x="12856" y="0"/>
                <wp:lineTo x="10043" y="0"/>
              </wp:wrapPolygon>
            </wp:wrapTight>
            <wp:docPr id="38939111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FDC">
        <w:rPr>
          <w:noProof/>
        </w:rPr>
        <w:drawing>
          <wp:anchor distT="0" distB="0" distL="114300" distR="114300" simplePos="0" relativeHeight="251660288" behindDoc="1" locked="0" layoutInCell="1" allowOverlap="1" wp14:anchorId="206E4BC4" wp14:editId="38AEF19E">
            <wp:simplePos x="0" y="0"/>
            <wp:positionH relativeFrom="column">
              <wp:posOffset>41910</wp:posOffset>
            </wp:positionH>
            <wp:positionV relativeFrom="paragraph">
              <wp:posOffset>6350</wp:posOffset>
            </wp:positionV>
            <wp:extent cx="702310" cy="1221740"/>
            <wp:effectExtent l="0" t="0" r="2540" b="0"/>
            <wp:wrapTight wrapText="bothSides">
              <wp:wrapPolygon edited="0">
                <wp:start x="0" y="0"/>
                <wp:lineTo x="0" y="13809"/>
                <wp:lineTo x="2344" y="16166"/>
                <wp:lineTo x="5273" y="16166"/>
                <wp:lineTo x="2929" y="19198"/>
                <wp:lineTo x="4687" y="21218"/>
                <wp:lineTo x="7617" y="21218"/>
                <wp:lineTo x="15819" y="21218"/>
                <wp:lineTo x="21092" y="19198"/>
                <wp:lineTo x="21092" y="9767"/>
                <wp:lineTo x="15819" y="4715"/>
                <wp:lineTo x="15819" y="1684"/>
                <wp:lineTo x="14061" y="0"/>
                <wp:lineTo x="0" y="0"/>
              </wp:wrapPolygon>
            </wp:wrapTight>
            <wp:docPr id="43131379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37B4D" w14:textId="67B4C642" w:rsidR="00DB42DE" w:rsidRPr="00EA4FDC" w:rsidRDefault="00DB42DE" w:rsidP="00EA4FDC">
      <w:pPr>
        <w:pStyle w:val="Style1"/>
      </w:pPr>
      <w:r w:rsidRPr="00EA4FDC">
        <w:rPr>
          <w:noProof/>
        </w:rPr>
        <w:drawing>
          <wp:anchor distT="0" distB="0" distL="114300" distR="114300" simplePos="0" relativeHeight="251662336" behindDoc="1" locked="0" layoutInCell="1" allowOverlap="1" wp14:anchorId="11808CF9" wp14:editId="3B57F717">
            <wp:simplePos x="0" y="0"/>
            <wp:positionH relativeFrom="column">
              <wp:posOffset>4352925</wp:posOffset>
            </wp:positionH>
            <wp:positionV relativeFrom="paragraph">
              <wp:posOffset>10160</wp:posOffset>
            </wp:positionV>
            <wp:extent cx="1221740" cy="951230"/>
            <wp:effectExtent l="0" t="0" r="0" b="1270"/>
            <wp:wrapTight wrapText="bothSides">
              <wp:wrapPolygon edited="0">
                <wp:start x="0" y="0"/>
                <wp:lineTo x="0" y="21196"/>
                <wp:lineTo x="21218" y="21196"/>
                <wp:lineTo x="21218" y="0"/>
                <wp:lineTo x="0" y="0"/>
              </wp:wrapPolygon>
            </wp:wrapTight>
            <wp:docPr id="181847454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E08FA" w14:textId="297B3FDC" w:rsidR="00DB42DE" w:rsidRPr="00EA4FDC" w:rsidRDefault="00DB42DE" w:rsidP="00EA4FDC">
      <w:pPr>
        <w:pStyle w:val="Style1"/>
      </w:pPr>
    </w:p>
    <w:p w14:paraId="58A0CE62" w14:textId="0197EFEF" w:rsidR="00DB42DE" w:rsidRPr="00EA4FDC" w:rsidRDefault="00DB42DE" w:rsidP="00EA4FDC">
      <w:pPr>
        <w:pStyle w:val="Style1"/>
      </w:pPr>
    </w:p>
    <w:p w14:paraId="0C39534D" w14:textId="73A21D27" w:rsidR="00DB42DE" w:rsidRPr="00EA4FDC" w:rsidRDefault="00DB42DE" w:rsidP="00EA4FDC">
      <w:pPr>
        <w:pStyle w:val="Style1"/>
      </w:pPr>
    </w:p>
    <w:p w14:paraId="66402A8E" w14:textId="3077AE25" w:rsidR="00DB42DE" w:rsidRPr="00EA4FDC" w:rsidRDefault="00DB42DE" w:rsidP="00EA4FDC">
      <w:pPr>
        <w:pStyle w:val="Style1"/>
      </w:pPr>
    </w:p>
    <w:p w14:paraId="0A667DBD" w14:textId="1B92A6F2" w:rsidR="00DB42DE" w:rsidRPr="00EA4FDC" w:rsidRDefault="00DB42DE" w:rsidP="00EA4FDC">
      <w:pPr>
        <w:pStyle w:val="Style1"/>
      </w:pPr>
    </w:p>
    <w:p w14:paraId="29D4A9E9" w14:textId="32FA660E" w:rsidR="00DB42DE" w:rsidRPr="00EA4FDC" w:rsidRDefault="00DB42DE" w:rsidP="00EA4FDC">
      <w:pPr>
        <w:pStyle w:val="Style1"/>
      </w:pPr>
    </w:p>
    <w:p w14:paraId="7D5CB568" w14:textId="77777777" w:rsidR="00DB42DE" w:rsidRPr="00EA4FDC" w:rsidRDefault="00DB42DE" w:rsidP="00EA4FDC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EA4FDC">
        <w:rPr>
          <w:color w:val="000000"/>
          <w:szCs w:val="22"/>
          <w:lang w:eastAsia="en-GB"/>
        </w:rPr>
        <w:t xml:space="preserve">Přetočit lahev do původní polohy.                                     Tlakem na píst vyprázdnit obsah aplikátoru  </w:t>
      </w:r>
    </w:p>
    <w:p w14:paraId="68A85ACE" w14:textId="5EE1A74E" w:rsidR="00DB42DE" w:rsidRPr="00EA4FDC" w:rsidRDefault="00DB42DE" w:rsidP="00EA4FDC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  <w:r w:rsidRPr="00EA4FDC">
        <w:rPr>
          <w:color w:val="000000"/>
          <w:szCs w:val="22"/>
          <w:lang w:eastAsia="en-GB"/>
        </w:rPr>
        <w:t xml:space="preserve">Krouživým pohybem odpojit aplikátor.                             na krmivo nebo přímo do </w:t>
      </w:r>
      <w:r w:rsidR="005B4948">
        <w:rPr>
          <w:color w:val="000000"/>
          <w:szCs w:val="22"/>
          <w:lang w:eastAsia="en-GB"/>
        </w:rPr>
        <w:t>dutiny ústní</w:t>
      </w:r>
      <w:r w:rsidRPr="00EA4FDC">
        <w:rPr>
          <w:color w:val="000000"/>
          <w:szCs w:val="22"/>
          <w:lang w:eastAsia="en-GB"/>
        </w:rPr>
        <w:t>.</w:t>
      </w:r>
    </w:p>
    <w:p w14:paraId="014F773C" w14:textId="03FEF976" w:rsidR="00DB42DE" w:rsidRPr="00EA4FDC" w:rsidRDefault="00DB42DE" w:rsidP="00EA4FDC">
      <w:pPr>
        <w:pStyle w:val="Style1"/>
      </w:pPr>
    </w:p>
    <w:p w14:paraId="22E608FB" w14:textId="612A41C2" w:rsidR="00DB42DE" w:rsidRPr="00EA4FDC" w:rsidRDefault="006D53D9" w:rsidP="008E7308">
      <w:pPr>
        <w:pStyle w:val="Style1"/>
        <w:ind w:left="0" w:firstLine="0"/>
        <w:jc w:val="both"/>
        <w:rPr>
          <w:b w:val="0"/>
          <w:bCs/>
        </w:rPr>
      </w:pPr>
      <w:r w:rsidRPr="00EA4FDC">
        <w:rPr>
          <w:b w:val="0"/>
          <w:bCs/>
        </w:rPr>
        <w:t>Klinickou odpověď lze obvykle pozorovat v průběhu 3-4 dní. Nedojde-li ke klinickému zlepšení, je třeba nejpozději za 10 dní léčbu přerušit.</w:t>
      </w:r>
    </w:p>
    <w:p w14:paraId="32C6FD93" w14:textId="121ED2C2" w:rsidR="006D53D9" w:rsidRPr="00EA4FDC" w:rsidRDefault="006D53D9" w:rsidP="008E7308">
      <w:pPr>
        <w:pStyle w:val="Style1"/>
        <w:ind w:left="0" w:firstLine="0"/>
        <w:jc w:val="both"/>
        <w:rPr>
          <w:b w:val="0"/>
          <w:bCs/>
        </w:rPr>
      </w:pPr>
      <w:r w:rsidRPr="00EA4FDC">
        <w:rPr>
          <w:b w:val="0"/>
          <w:bCs/>
        </w:rPr>
        <w:t>Alternativně lze léčbu zahájit veterinárním léčivým přípravkem MELOXICAM Bioveta 5 mg/ml injekční roztok.</w:t>
      </w:r>
    </w:p>
    <w:p w14:paraId="562671D2" w14:textId="078798F9" w:rsidR="006D53D9" w:rsidRPr="00EA4FDC" w:rsidRDefault="006D53D9" w:rsidP="008E7308">
      <w:pPr>
        <w:pStyle w:val="Style1"/>
        <w:ind w:left="0" w:firstLine="0"/>
        <w:jc w:val="both"/>
        <w:rPr>
          <w:b w:val="0"/>
          <w:bCs/>
        </w:rPr>
      </w:pPr>
      <w:r w:rsidRPr="00EA4FDC">
        <w:rPr>
          <w:b w:val="0"/>
          <w:bCs/>
        </w:rPr>
        <w:t>V průběhu používání</w:t>
      </w:r>
      <w:r w:rsidR="005B4948">
        <w:rPr>
          <w:b w:val="0"/>
          <w:bCs/>
        </w:rPr>
        <w:t xml:space="preserve"> veterinárního léčivého</w:t>
      </w:r>
      <w:r w:rsidRPr="00EA4FDC">
        <w:rPr>
          <w:b w:val="0"/>
          <w:bCs/>
        </w:rPr>
        <w:t xml:space="preserve"> přípravku zamezte jeho konzumaci.</w:t>
      </w:r>
    </w:p>
    <w:p w14:paraId="1E5B854A" w14:textId="09BB3951" w:rsidR="00AA798F" w:rsidRDefault="00AA798F">
      <w:pPr>
        <w:tabs>
          <w:tab w:val="clear" w:pos="567"/>
        </w:tabs>
        <w:spacing w:line="240" w:lineRule="auto"/>
        <w:rPr>
          <w:b/>
          <w:szCs w:val="22"/>
        </w:rPr>
      </w:pPr>
      <w:r>
        <w:br w:type="page"/>
      </w:r>
    </w:p>
    <w:p w14:paraId="6E9288E7" w14:textId="77777777" w:rsidR="00DB42DE" w:rsidRPr="00EA4FDC" w:rsidRDefault="00DB42DE" w:rsidP="008E7308">
      <w:pPr>
        <w:pStyle w:val="Style1"/>
        <w:jc w:val="both"/>
      </w:pPr>
    </w:p>
    <w:p w14:paraId="0A85AF50" w14:textId="149B215C" w:rsidR="00C114FF" w:rsidRPr="00EA4FDC" w:rsidRDefault="007C0376" w:rsidP="008E7308">
      <w:pPr>
        <w:pStyle w:val="Style1"/>
        <w:jc w:val="both"/>
      </w:pPr>
      <w:r w:rsidRPr="00EA4FDC">
        <w:t>3.10</w:t>
      </w:r>
      <w:r w:rsidRPr="00EA4FDC">
        <w:tab/>
        <w:t xml:space="preserve">Příznaky předávkování </w:t>
      </w:r>
      <w:r w:rsidR="00EC5045" w:rsidRPr="00EA4FDC">
        <w:t>(</w:t>
      </w:r>
      <w:r w:rsidRPr="00EA4FDC">
        <w:t xml:space="preserve">a </w:t>
      </w:r>
      <w:r w:rsidR="00202A85" w:rsidRPr="00EA4FDC">
        <w:t>kde</w:t>
      </w:r>
      <w:r w:rsidR="005E66FC" w:rsidRPr="00EA4FDC">
        <w:t xml:space="preserve"> </w:t>
      </w:r>
      <w:r w:rsidR="00202A85" w:rsidRPr="00EA4FDC">
        <w:t>je</w:t>
      </w:r>
      <w:r w:rsidR="005E66FC" w:rsidRPr="00EA4FDC">
        <w:t xml:space="preserve"> </w:t>
      </w:r>
      <w:r w:rsidR="00FB6F2F" w:rsidRPr="00EA4FDC">
        <w:t>relevantní</w:t>
      </w:r>
      <w:r w:rsidR="00202A85" w:rsidRPr="00EA4FDC">
        <w:t>, první pomoc</w:t>
      </w:r>
      <w:r w:rsidRPr="00EA4FDC">
        <w:t xml:space="preserve"> a antidota</w:t>
      </w:r>
      <w:r w:rsidR="00202A85" w:rsidRPr="00EA4FDC">
        <w:t>)</w:t>
      </w:r>
      <w:r w:rsidRPr="00EA4FDC">
        <w:t xml:space="preserve"> </w:t>
      </w:r>
    </w:p>
    <w:p w14:paraId="45A34650" w14:textId="60B46060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E81149C" w14:textId="77777777" w:rsidR="006D53D9" w:rsidRPr="00EA4FDC" w:rsidRDefault="006D53D9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V případě předávkování je nutné zahájit symptomatickou léčbu.</w:t>
      </w:r>
    </w:p>
    <w:p w14:paraId="32FA1193" w14:textId="77777777" w:rsidR="006D53D9" w:rsidRPr="00EA4FDC" w:rsidRDefault="006D53D9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CD3206" w14:textId="48B1F49A" w:rsidR="009A6509" w:rsidRPr="00EA4FDC" w:rsidRDefault="007C0376" w:rsidP="00D9221B">
      <w:pPr>
        <w:pStyle w:val="Style1"/>
        <w:keepNext/>
        <w:jc w:val="both"/>
      </w:pPr>
      <w:r w:rsidRPr="00EA4FDC">
        <w:t>3.11</w:t>
      </w:r>
      <w:r w:rsidRPr="00EA4FDC">
        <w:tab/>
        <w:t>Zvláštní omezení pro použití a zvláštní podmínky pro použití, včetně omezení používání antimikrob</w:t>
      </w:r>
      <w:r w:rsidR="00202A85" w:rsidRPr="00EA4FDC">
        <w:t>ních</w:t>
      </w:r>
      <w:r w:rsidRPr="00EA4FDC">
        <w:t xml:space="preserve"> a antiparazitárních veterinárních léčivých přípravků, za účelem snížení rizika rozvoje rezistence</w:t>
      </w:r>
    </w:p>
    <w:p w14:paraId="1204C42F" w14:textId="657F229F" w:rsidR="009A6509" w:rsidRPr="00EA4FDC" w:rsidRDefault="009A6509" w:rsidP="00D9221B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B24853D" w14:textId="5215C225" w:rsidR="009A6509" w:rsidRPr="00EA4FDC" w:rsidRDefault="007C0376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EA4FDC">
        <w:rPr>
          <w:szCs w:val="22"/>
        </w:rPr>
        <w:t>Neuplatňuje se.</w:t>
      </w:r>
    </w:p>
    <w:p w14:paraId="23184928" w14:textId="77777777" w:rsidR="009A6509" w:rsidRPr="00EA4FDC" w:rsidRDefault="009A6509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BB4EC2" w14:textId="77777777" w:rsidR="00C114FF" w:rsidRPr="00EA4FDC" w:rsidRDefault="007C0376" w:rsidP="008E7308">
      <w:pPr>
        <w:pStyle w:val="Style1"/>
        <w:jc w:val="both"/>
      </w:pPr>
      <w:r w:rsidRPr="00EA4FDC">
        <w:t>3.12</w:t>
      </w:r>
      <w:r w:rsidRPr="00EA4FDC">
        <w:tab/>
        <w:t>Ochranné lhůty</w:t>
      </w:r>
    </w:p>
    <w:p w14:paraId="2DC95067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5946CB6" w14:textId="71C442DF" w:rsidR="00C114FF" w:rsidRPr="00EA4FDC" w:rsidRDefault="00CE0922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Neuplatňuje se.</w:t>
      </w:r>
    </w:p>
    <w:p w14:paraId="1A1B55BD" w14:textId="19958946" w:rsidR="00FC02F3" w:rsidRDefault="00FC02F3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C00BF0" w14:textId="77777777" w:rsidR="00AA798F" w:rsidRPr="00EA4FDC" w:rsidRDefault="00AA798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5B50269" w14:textId="08591D6C" w:rsidR="00C114FF" w:rsidRPr="00EA4FDC" w:rsidRDefault="007C0376" w:rsidP="008E7308">
      <w:pPr>
        <w:pStyle w:val="Style1"/>
        <w:jc w:val="both"/>
      </w:pPr>
      <w:r w:rsidRPr="00EA4FDC">
        <w:t>4.</w:t>
      </w:r>
      <w:r w:rsidRPr="00EA4FDC">
        <w:tab/>
        <w:t>FARMAKOLOGICKÉ INFORMACE</w:t>
      </w:r>
    </w:p>
    <w:p w14:paraId="2C2A4C50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DA42117" w14:textId="265C2C6D" w:rsidR="00C114FF" w:rsidRPr="00EA4FDC" w:rsidRDefault="007C0376" w:rsidP="008E7308">
      <w:pPr>
        <w:pStyle w:val="Style1"/>
        <w:jc w:val="both"/>
        <w:rPr>
          <w:b w:val="0"/>
          <w:bCs/>
        </w:rPr>
      </w:pPr>
      <w:r w:rsidRPr="00EA4FDC">
        <w:t>4.1</w:t>
      </w:r>
      <w:r w:rsidRPr="00EA4FDC">
        <w:tab/>
        <w:t>ATCvet kód:</w:t>
      </w:r>
      <w:r w:rsidR="00554C27" w:rsidRPr="00EA4FDC">
        <w:t xml:space="preserve"> </w:t>
      </w:r>
      <w:r w:rsidR="006D53D9" w:rsidRPr="00EA4FDC">
        <w:rPr>
          <w:b w:val="0"/>
          <w:bCs/>
        </w:rPr>
        <w:t>QM01AC06</w:t>
      </w:r>
    </w:p>
    <w:p w14:paraId="5C965196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DC4C65B" w14:textId="40D1F51F" w:rsidR="00C114FF" w:rsidRPr="00EA4FDC" w:rsidRDefault="007C0376" w:rsidP="008E7308">
      <w:pPr>
        <w:pStyle w:val="Style1"/>
        <w:jc w:val="both"/>
      </w:pPr>
      <w:r w:rsidRPr="00EA4FDC">
        <w:t>4.2</w:t>
      </w:r>
      <w:r w:rsidRPr="00EA4FDC">
        <w:tab/>
        <w:t>Farmakodynamika</w:t>
      </w:r>
    </w:p>
    <w:p w14:paraId="57B16136" w14:textId="77777777" w:rsidR="006D53D9" w:rsidRPr="00EA4FDC" w:rsidRDefault="006D53D9" w:rsidP="008E7308">
      <w:pPr>
        <w:spacing w:line="240" w:lineRule="auto"/>
        <w:jc w:val="both"/>
        <w:rPr>
          <w:szCs w:val="22"/>
        </w:rPr>
      </w:pPr>
    </w:p>
    <w:p w14:paraId="2E26EF41" w14:textId="6F9F718D" w:rsidR="006D53D9" w:rsidRPr="00EA4FDC" w:rsidRDefault="006D53D9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Meloxikam je nesteroidní protizánětliv</w:t>
      </w:r>
      <w:r w:rsidR="00FB73CC">
        <w:rPr>
          <w:szCs w:val="22"/>
        </w:rPr>
        <w:t>é</w:t>
      </w:r>
      <w:r w:rsidRPr="00EA4FDC">
        <w:rPr>
          <w:szCs w:val="22"/>
        </w:rPr>
        <w:t xml:space="preserve"> l</w:t>
      </w:r>
      <w:r w:rsidR="00FB73CC">
        <w:rPr>
          <w:szCs w:val="22"/>
        </w:rPr>
        <w:t>éčivo</w:t>
      </w:r>
      <w:r w:rsidRPr="00EA4FDC">
        <w:rPr>
          <w:szCs w:val="22"/>
        </w:rPr>
        <w:t xml:space="preserve"> (NSAID) ze skupiny </w:t>
      </w:r>
      <w:proofErr w:type="spellStart"/>
      <w:r w:rsidRPr="00EA4FDC">
        <w:rPr>
          <w:szCs w:val="22"/>
        </w:rPr>
        <w:t>oxikamů</w:t>
      </w:r>
      <w:proofErr w:type="spellEnd"/>
      <w:r w:rsidRPr="00EA4FDC">
        <w:rPr>
          <w:szCs w:val="22"/>
        </w:rPr>
        <w:t xml:space="preserve">, který inhibuje syntézu prostaglandinů, a má tak protizánětlivé, analgetické, </w:t>
      </w:r>
      <w:proofErr w:type="spellStart"/>
      <w:r w:rsidRPr="00EA4FDC">
        <w:rPr>
          <w:szCs w:val="22"/>
        </w:rPr>
        <w:t>antiexsudativní</w:t>
      </w:r>
      <w:proofErr w:type="spellEnd"/>
      <w:r w:rsidRPr="00EA4FDC">
        <w:rPr>
          <w:szCs w:val="22"/>
        </w:rPr>
        <w:t xml:space="preserve"> a antipyretické účinky. Redukuje infiltraci leukocytů do zanícené tkáně. Mírně snižuje rovněž agregaci trombocytů indukovanou kolagenem.</w:t>
      </w:r>
      <w:r w:rsidRPr="00EA4FDC">
        <w:rPr>
          <w:szCs w:val="22"/>
        </w:rPr>
        <w:br/>
        <w:t xml:space="preserve">Studie </w:t>
      </w:r>
      <w:r w:rsidRPr="00EA4FDC">
        <w:rPr>
          <w:i/>
          <w:szCs w:val="22"/>
        </w:rPr>
        <w:t>in vitro</w:t>
      </w:r>
      <w:r w:rsidRPr="00EA4FDC">
        <w:rPr>
          <w:szCs w:val="22"/>
        </w:rPr>
        <w:t xml:space="preserve"> a </w:t>
      </w:r>
      <w:r w:rsidRPr="00EA4FDC">
        <w:rPr>
          <w:i/>
          <w:szCs w:val="22"/>
        </w:rPr>
        <w:t xml:space="preserve">in </w:t>
      </w:r>
      <w:proofErr w:type="spellStart"/>
      <w:r w:rsidRPr="00EA4FDC">
        <w:rPr>
          <w:i/>
          <w:szCs w:val="22"/>
        </w:rPr>
        <w:t>vivo</w:t>
      </w:r>
      <w:proofErr w:type="spellEnd"/>
      <w:r w:rsidRPr="00EA4FDC">
        <w:rPr>
          <w:szCs w:val="22"/>
        </w:rPr>
        <w:t xml:space="preserve"> prokázaly, že meloxikam inhibuje cyklooxygenázu-2 (COX-2) ve větší míře než cyklooxygenázu-1 (COX-1).</w:t>
      </w:r>
    </w:p>
    <w:p w14:paraId="50FA42E3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E4D04A" w14:textId="2FDDC429" w:rsidR="00C114FF" w:rsidRPr="00EA4FDC" w:rsidRDefault="007C0376" w:rsidP="008E7308">
      <w:pPr>
        <w:pStyle w:val="Style1"/>
        <w:jc w:val="both"/>
      </w:pPr>
      <w:r w:rsidRPr="00EA4FDC">
        <w:t>4.3</w:t>
      </w:r>
      <w:r w:rsidRPr="00EA4FDC">
        <w:tab/>
        <w:t>Farmakokinetika</w:t>
      </w:r>
    </w:p>
    <w:p w14:paraId="62AE909E" w14:textId="77777777" w:rsidR="006D53D9" w:rsidRPr="00EA4FDC" w:rsidRDefault="006D53D9" w:rsidP="008E7308">
      <w:pPr>
        <w:spacing w:line="240" w:lineRule="auto"/>
        <w:jc w:val="both"/>
        <w:rPr>
          <w:szCs w:val="22"/>
          <w:u w:val="single"/>
        </w:rPr>
      </w:pPr>
    </w:p>
    <w:p w14:paraId="53951125" w14:textId="319352E7" w:rsidR="006D53D9" w:rsidRPr="00EA4FDC" w:rsidRDefault="006D53D9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  <w:u w:val="single"/>
        </w:rPr>
        <w:t>Absorpce</w:t>
      </w:r>
      <w:r w:rsidRPr="00EA4FDC">
        <w:rPr>
          <w:szCs w:val="22"/>
        </w:rPr>
        <w:br/>
        <w:t xml:space="preserve">Meloxikam je po perorálním podání zcela absorbován a maximální koncentrace v plazmě jsou dosahovány přibližně za 4,5 hodin. Je-li </w:t>
      </w:r>
      <w:r w:rsidR="00FB73CC">
        <w:rPr>
          <w:szCs w:val="22"/>
        </w:rPr>
        <w:t xml:space="preserve">veterinární léčivý </w:t>
      </w:r>
      <w:r w:rsidRPr="00EA4FDC">
        <w:rPr>
          <w:szCs w:val="22"/>
        </w:rPr>
        <w:t>přípravek používán podle doporučeného dávkování, je ustáleného stavu koncentrace meloxikamu v plazmě dosaženo druhý den po zahájení léčby.</w:t>
      </w:r>
    </w:p>
    <w:p w14:paraId="18BF992D" w14:textId="77777777" w:rsidR="006D53D9" w:rsidRPr="00EA4FDC" w:rsidRDefault="006D53D9" w:rsidP="008E7308">
      <w:pPr>
        <w:spacing w:line="240" w:lineRule="auto"/>
        <w:jc w:val="both"/>
        <w:rPr>
          <w:szCs w:val="22"/>
        </w:rPr>
      </w:pPr>
    </w:p>
    <w:p w14:paraId="096419EF" w14:textId="52D41CF7" w:rsidR="006D53D9" w:rsidRPr="00EA4FDC" w:rsidRDefault="006D53D9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  <w:u w:val="single"/>
        </w:rPr>
        <w:t>Distribuce</w:t>
      </w:r>
      <w:r w:rsidRPr="00EA4FDC">
        <w:rPr>
          <w:szCs w:val="22"/>
        </w:rPr>
        <w:br/>
        <w:t xml:space="preserve">Na úrovni terapeutických dávek existuje lineární závislost mezi </w:t>
      </w:r>
      <w:r w:rsidR="00FB73CC">
        <w:rPr>
          <w:szCs w:val="22"/>
        </w:rPr>
        <w:t>podanou</w:t>
      </w:r>
      <w:r w:rsidR="00FB73CC" w:rsidRPr="00EA4FDC">
        <w:rPr>
          <w:szCs w:val="22"/>
        </w:rPr>
        <w:t xml:space="preserve"> </w:t>
      </w:r>
      <w:r w:rsidRPr="00EA4FDC">
        <w:rPr>
          <w:szCs w:val="22"/>
        </w:rPr>
        <w:t>dávkou a koncentrací nalézanou v plazmě. Přibližně 97 % meloxikamu je vázáno na bílkoviny plazmy. Distribuční objem je 0,3 l/kg.</w:t>
      </w:r>
    </w:p>
    <w:p w14:paraId="60439D58" w14:textId="77777777" w:rsidR="006D53D9" w:rsidRPr="00EA4FDC" w:rsidRDefault="006D53D9" w:rsidP="008E7308">
      <w:pPr>
        <w:spacing w:line="240" w:lineRule="auto"/>
        <w:jc w:val="both"/>
        <w:rPr>
          <w:szCs w:val="22"/>
          <w:u w:val="single"/>
        </w:rPr>
      </w:pPr>
    </w:p>
    <w:p w14:paraId="1CF829AA" w14:textId="77777777" w:rsidR="006D53D9" w:rsidRPr="00EA4FDC" w:rsidRDefault="006D53D9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  <w:u w:val="single"/>
        </w:rPr>
        <w:t>Metabolismus</w:t>
      </w:r>
      <w:r w:rsidRPr="00EA4FDC">
        <w:rPr>
          <w:szCs w:val="22"/>
        </w:rPr>
        <w:br/>
        <w:t>Meloxikam se nalézá především v plazmě a představuje také hlavní produkt vylučovaný žlučí, moč obsahuje pouze stopy původní látky. Meloxikam je metabolizován na alkohol, derivát kyseliny a na několik polárních metabolitů. Bylo prokázáno, že všechny hlavní metabolity jsou farmakologicky inaktivní.</w:t>
      </w:r>
    </w:p>
    <w:p w14:paraId="7763196C" w14:textId="77777777" w:rsidR="006D53D9" w:rsidRPr="00EA4FDC" w:rsidRDefault="006D53D9" w:rsidP="008E7308">
      <w:pPr>
        <w:spacing w:line="240" w:lineRule="auto"/>
        <w:jc w:val="both"/>
        <w:rPr>
          <w:szCs w:val="22"/>
          <w:u w:val="single"/>
        </w:rPr>
      </w:pPr>
    </w:p>
    <w:p w14:paraId="2FD34D0E" w14:textId="2E681B8E" w:rsidR="006D53D9" w:rsidRPr="00EA4FDC" w:rsidRDefault="006D53D9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  <w:u w:val="single"/>
        </w:rPr>
        <w:t>Eliminace</w:t>
      </w:r>
      <w:r w:rsidRPr="00EA4FDC">
        <w:rPr>
          <w:szCs w:val="22"/>
        </w:rPr>
        <w:br/>
        <w:t xml:space="preserve">Meloxikam je vylučován s biologickým poločasem 24 hodin. Přibližně 75 % </w:t>
      </w:r>
      <w:r w:rsidR="00FB73CC">
        <w:rPr>
          <w:szCs w:val="22"/>
        </w:rPr>
        <w:t>podané</w:t>
      </w:r>
      <w:r w:rsidR="00FB73CC" w:rsidRPr="00EA4FDC">
        <w:rPr>
          <w:szCs w:val="22"/>
        </w:rPr>
        <w:t xml:space="preserve"> </w:t>
      </w:r>
      <w:r w:rsidRPr="00EA4FDC">
        <w:rPr>
          <w:szCs w:val="22"/>
        </w:rPr>
        <w:t>dávky je vylučováno trusem, zbytek močí.</w:t>
      </w:r>
    </w:p>
    <w:p w14:paraId="041767DA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A7CCBAA" w14:textId="77777777" w:rsidR="006D53D9" w:rsidRPr="00EA4FDC" w:rsidRDefault="006D53D9" w:rsidP="008E7308">
      <w:pPr>
        <w:pStyle w:val="Style1"/>
        <w:jc w:val="both"/>
      </w:pPr>
    </w:p>
    <w:p w14:paraId="1F57863B" w14:textId="69BB1E0D" w:rsidR="00C114FF" w:rsidRPr="00EA4FDC" w:rsidRDefault="007C0376" w:rsidP="00AA798F">
      <w:pPr>
        <w:pStyle w:val="Style1"/>
        <w:keepNext/>
        <w:jc w:val="both"/>
      </w:pPr>
      <w:r w:rsidRPr="00EA4FDC">
        <w:lastRenderedPageBreak/>
        <w:t>5.</w:t>
      </w:r>
      <w:r w:rsidRPr="00EA4FDC">
        <w:tab/>
        <w:t>FARMACEUTICKÉ ÚDAJE</w:t>
      </w:r>
    </w:p>
    <w:p w14:paraId="7BC53755" w14:textId="77777777" w:rsidR="00C114FF" w:rsidRPr="00EA4FDC" w:rsidRDefault="00C114FF" w:rsidP="00AA798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57E8B708" w14:textId="77777777" w:rsidR="00C114FF" w:rsidRPr="00EA4FDC" w:rsidRDefault="007C0376" w:rsidP="00AA798F">
      <w:pPr>
        <w:pStyle w:val="Style1"/>
        <w:keepNext/>
        <w:jc w:val="both"/>
      </w:pPr>
      <w:r w:rsidRPr="00EA4FDC">
        <w:t>5.1</w:t>
      </w:r>
      <w:r w:rsidRPr="00EA4FDC">
        <w:tab/>
        <w:t>Hlavní inkompatibility</w:t>
      </w:r>
    </w:p>
    <w:p w14:paraId="15C29130" w14:textId="77777777" w:rsidR="00C114FF" w:rsidRPr="00EA4FDC" w:rsidRDefault="00C114FF" w:rsidP="00AA798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172EFE7A" w14:textId="74862043" w:rsidR="00860799" w:rsidRDefault="00860799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81E7D">
        <w:rPr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00CB1A17" w14:textId="77777777" w:rsidR="00D9221B" w:rsidRPr="00EA4FDC" w:rsidRDefault="00D9221B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3005D63" w14:textId="77777777" w:rsidR="00C114FF" w:rsidRPr="00EA4FDC" w:rsidRDefault="007C0376" w:rsidP="00AA798F">
      <w:pPr>
        <w:pStyle w:val="Style1"/>
        <w:keepNext/>
        <w:jc w:val="both"/>
      </w:pPr>
      <w:r w:rsidRPr="00EA4FDC">
        <w:t>5.2</w:t>
      </w:r>
      <w:r w:rsidRPr="00EA4FDC">
        <w:tab/>
        <w:t>Doba použitelnosti</w:t>
      </w:r>
    </w:p>
    <w:p w14:paraId="100B6613" w14:textId="77777777" w:rsidR="00C114FF" w:rsidRPr="00EA4FDC" w:rsidRDefault="00C114FF" w:rsidP="00AA798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2057A8D7" w14:textId="556E8A2B" w:rsidR="00C114FF" w:rsidRPr="00EA4FDC" w:rsidRDefault="007C0376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EA4FDC">
        <w:rPr>
          <w:szCs w:val="22"/>
        </w:rPr>
        <w:t>Doba použitelnosti veterinárního léčivého přípravku v neporušeném obalu:</w:t>
      </w:r>
      <w:r w:rsidR="006D53D9" w:rsidRPr="00EA4FDC">
        <w:rPr>
          <w:szCs w:val="22"/>
        </w:rPr>
        <w:t xml:space="preserve"> 2 roky.</w:t>
      </w:r>
    </w:p>
    <w:p w14:paraId="5DF513F3" w14:textId="113152B0" w:rsidR="00C114FF" w:rsidRPr="00EA4FDC" w:rsidRDefault="007C0376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EA4FDC">
        <w:rPr>
          <w:szCs w:val="22"/>
        </w:rPr>
        <w:t>Doba použitelnosti po prvním otevření vnitřního obalu:</w:t>
      </w:r>
      <w:r w:rsidR="006D53D9" w:rsidRPr="00EA4FDC">
        <w:rPr>
          <w:szCs w:val="22"/>
        </w:rPr>
        <w:t xml:space="preserve"> 6 měsíců.</w:t>
      </w:r>
    </w:p>
    <w:p w14:paraId="4CD9C987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A152485" w14:textId="77777777" w:rsidR="00C114FF" w:rsidRPr="00EA4FDC" w:rsidRDefault="007C0376" w:rsidP="008E7308">
      <w:pPr>
        <w:pStyle w:val="Style1"/>
        <w:jc w:val="both"/>
      </w:pPr>
      <w:r w:rsidRPr="00EA4FDC">
        <w:t>5.3</w:t>
      </w:r>
      <w:r w:rsidRPr="00EA4FDC">
        <w:tab/>
        <w:t>Zvláštní opatření pro uchovávání</w:t>
      </w:r>
    </w:p>
    <w:p w14:paraId="7826F268" w14:textId="77777777" w:rsidR="00C114FF" w:rsidRPr="00EA4FDC" w:rsidRDefault="00C114FF" w:rsidP="008E73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37F4C5F" w14:textId="77777777" w:rsidR="006D53D9" w:rsidRPr="00EA4FDC" w:rsidRDefault="006D53D9" w:rsidP="008E7308">
      <w:pPr>
        <w:spacing w:line="240" w:lineRule="auto"/>
        <w:jc w:val="both"/>
        <w:rPr>
          <w:szCs w:val="22"/>
        </w:rPr>
      </w:pPr>
      <w:r w:rsidRPr="00EA4FDC">
        <w:rPr>
          <w:szCs w:val="22"/>
        </w:rPr>
        <w:t>Chraňte před mrazem.</w:t>
      </w:r>
    </w:p>
    <w:p w14:paraId="75A1DEA1" w14:textId="77777777" w:rsidR="006D53D9" w:rsidRPr="00EA4FDC" w:rsidRDefault="006D53D9" w:rsidP="008E7308">
      <w:pPr>
        <w:spacing w:line="240" w:lineRule="auto"/>
        <w:ind w:right="-1"/>
        <w:jc w:val="both"/>
        <w:rPr>
          <w:szCs w:val="22"/>
        </w:rPr>
      </w:pPr>
      <w:r w:rsidRPr="00EA4FDC">
        <w:rPr>
          <w:szCs w:val="22"/>
        </w:rPr>
        <w:t xml:space="preserve">Uchovávejte lahev v krabičce, aby byla chráněna před světlem. </w:t>
      </w:r>
    </w:p>
    <w:p w14:paraId="205A4A8C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42EAA46B" w14:textId="56CE0F50" w:rsidR="00C114FF" w:rsidRPr="00EA4FDC" w:rsidRDefault="007C0376" w:rsidP="008E7308">
      <w:pPr>
        <w:pStyle w:val="Style1"/>
        <w:ind w:right="-1"/>
        <w:jc w:val="both"/>
      </w:pPr>
      <w:r w:rsidRPr="00EA4FDC">
        <w:t>5.4</w:t>
      </w:r>
      <w:r w:rsidRPr="00EA4FDC">
        <w:tab/>
        <w:t>Druh a složení vnitřního obalu</w:t>
      </w:r>
    </w:p>
    <w:p w14:paraId="3EB26241" w14:textId="77777777" w:rsidR="00C114FF" w:rsidRPr="00EA4FDC" w:rsidRDefault="00C114FF" w:rsidP="008E7308">
      <w:pPr>
        <w:pStyle w:val="Style1"/>
        <w:ind w:right="-1"/>
        <w:jc w:val="both"/>
      </w:pPr>
    </w:p>
    <w:p w14:paraId="34AF0324" w14:textId="788CA496" w:rsidR="006D53D9" w:rsidRPr="00EA4FDC" w:rsidRDefault="006D53D9" w:rsidP="008E7308">
      <w:pPr>
        <w:spacing w:line="240" w:lineRule="auto"/>
        <w:ind w:right="-1"/>
        <w:jc w:val="both"/>
        <w:rPr>
          <w:szCs w:val="22"/>
        </w:rPr>
      </w:pPr>
      <w:r w:rsidRPr="00EA4FDC">
        <w:rPr>
          <w:szCs w:val="22"/>
        </w:rPr>
        <w:t>Lahev z PET o obsahu 10 nebo 100 ml opatřená dávkovací vložkou (LDPE pro 10ml, HDPE pro 100ml lahev) uzavřená dětským bezpečnostním uzávěrem (PP/HDPE pro 10ml, HDPE pro 100ml lahev) v papírové krabičce. Součástí 100ml balení jsou 2 perorální PP aplikátory o objemu 1 ml a 5 ml (1ml dělený po 0,01 ml a 5ml dělený po 0,2 ml), v 10ml balení je perorální aplikátor o objemu 1 ml.</w:t>
      </w:r>
    </w:p>
    <w:p w14:paraId="163E9756" w14:textId="77777777" w:rsidR="006D53D9" w:rsidRPr="00EA4FDC" w:rsidRDefault="006D53D9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5C703918" w14:textId="167124D8" w:rsidR="00C114FF" w:rsidRPr="00EA4FDC" w:rsidRDefault="007C0376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  <w:r w:rsidRPr="00EA4FDC">
        <w:rPr>
          <w:szCs w:val="22"/>
        </w:rPr>
        <w:t>Na trhu nemusí být všechny velikosti balení.</w:t>
      </w:r>
    </w:p>
    <w:p w14:paraId="584B339F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580835CC" w14:textId="74323501" w:rsidR="00C114FF" w:rsidRPr="00EA4FDC" w:rsidRDefault="007C0376" w:rsidP="00D9221B">
      <w:pPr>
        <w:pStyle w:val="Style1"/>
        <w:keepNext/>
        <w:jc w:val="both"/>
      </w:pPr>
      <w:r w:rsidRPr="00EA4FDC">
        <w:t>5.5</w:t>
      </w:r>
      <w:r w:rsidRPr="00EA4FDC">
        <w:tab/>
        <w:t xml:space="preserve">Zvláštní opatření pro </w:t>
      </w:r>
      <w:r w:rsidR="00CF069C" w:rsidRPr="00EA4FDC">
        <w:t xml:space="preserve">likvidaci </w:t>
      </w:r>
      <w:r w:rsidRPr="00EA4FDC">
        <w:t>nepoužit</w:t>
      </w:r>
      <w:r w:rsidR="002F64C6" w:rsidRPr="00EA4FDC">
        <w:t>ých</w:t>
      </w:r>
      <w:r w:rsidR="00905CAB" w:rsidRPr="00EA4FDC">
        <w:t xml:space="preserve"> </w:t>
      </w:r>
      <w:r w:rsidRPr="00EA4FDC">
        <w:t>veterinární</w:t>
      </w:r>
      <w:r w:rsidR="002F64C6" w:rsidRPr="00EA4FDC">
        <w:t>ch</w:t>
      </w:r>
      <w:r w:rsidRPr="00EA4FDC">
        <w:t xml:space="preserve"> léčiv</w:t>
      </w:r>
      <w:r w:rsidR="002F64C6" w:rsidRPr="00EA4FDC">
        <w:t>ých</w:t>
      </w:r>
      <w:r w:rsidRPr="00EA4FDC">
        <w:t xml:space="preserve"> přípravk</w:t>
      </w:r>
      <w:r w:rsidR="002F64C6" w:rsidRPr="00EA4FDC">
        <w:t>ů</w:t>
      </w:r>
      <w:r w:rsidRPr="00EA4FDC">
        <w:t xml:space="preserve"> nebo odpad</w:t>
      </w:r>
      <w:r w:rsidR="00F84AED" w:rsidRPr="00EA4FDC">
        <w:t>ů</w:t>
      </w:r>
      <w:r w:rsidR="00B36E65" w:rsidRPr="00EA4FDC">
        <w:t>, kter</w:t>
      </w:r>
      <w:r w:rsidR="00F84AED" w:rsidRPr="00EA4FDC">
        <w:t>é</w:t>
      </w:r>
      <w:r w:rsidRPr="00EA4FDC">
        <w:t xml:space="preserve"> pocház</w:t>
      </w:r>
      <w:r w:rsidR="00B36E65" w:rsidRPr="00EA4FDC">
        <w:t>í</w:t>
      </w:r>
      <w:r w:rsidRPr="00EA4FDC">
        <w:t xml:space="preserve"> z</w:t>
      </w:r>
      <w:r w:rsidR="002F64C6" w:rsidRPr="00EA4FDC">
        <w:t> </w:t>
      </w:r>
      <w:r w:rsidRPr="00EA4FDC">
        <w:t>t</w:t>
      </w:r>
      <w:r w:rsidR="002F64C6" w:rsidRPr="00EA4FDC">
        <w:t xml:space="preserve">ěchto </w:t>
      </w:r>
      <w:r w:rsidRPr="00EA4FDC">
        <w:t>přípravk</w:t>
      </w:r>
      <w:r w:rsidR="002F64C6" w:rsidRPr="00EA4FDC">
        <w:t>ů</w:t>
      </w:r>
    </w:p>
    <w:p w14:paraId="4E04C78C" w14:textId="77777777" w:rsidR="00C114FF" w:rsidRPr="00EA4FDC" w:rsidRDefault="00C114FF" w:rsidP="00D9221B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28682A0A" w14:textId="3025E811" w:rsidR="00FD1E45" w:rsidRPr="00EA4FDC" w:rsidRDefault="007C0376" w:rsidP="008E7308">
      <w:pPr>
        <w:spacing w:line="240" w:lineRule="auto"/>
        <w:ind w:right="-1"/>
        <w:jc w:val="both"/>
        <w:rPr>
          <w:szCs w:val="22"/>
        </w:rPr>
      </w:pPr>
      <w:r w:rsidRPr="00EA4FDC">
        <w:rPr>
          <w:szCs w:val="22"/>
        </w:rPr>
        <w:t>Léčivé přípravky se nesmí likvidovat prostřednictvím odpadní vody či domovního odpadu.</w:t>
      </w:r>
    </w:p>
    <w:p w14:paraId="3F2195DA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2CAB4DC2" w14:textId="205FA5BB" w:rsidR="0078538F" w:rsidRPr="00EA4FDC" w:rsidRDefault="007C0376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  <w:r w:rsidRPr="00EA4FDC">
        <w:rPr>
          <w:szCs w:val="22"/>
        </w:rPr>
        <w:t>Všechen n</w:t>
      </w:r>
      <w:r w:rsidR="00DA2A06" w:rsidRPr="00EA4FDC">
        <w:rPr>
          <w:szCs w:val="22"/>
        </w:rPr>
        <w:t xml:space="preserve">epoužitý veterinární léčivý přípravek nebo </w:t>
      </w:r>
      <w:r w:rsidR="00905CAB" w:rsidRPr="00EA4FDC">
        <w:rPr>
          <w:szCs w:val="22"/>
        </w:rPr>
        <w:t>odpad, který pochází z tohoto přípravku,</w:t>
      </w:r>
      <w:r w:rsidR="00DA2A06" w:rsidRPr="00EA4FDC">
        <w:rPr>
          <w:szCs w:val="22"/>
        </w:rPr>
        <w:t xml:space="preserve"> </w:t>
      </w:r>
      <w:r w:rsidR="004C0568" w:rsidRPr="00EA4FDC">
        <w:rPr>
          <w:szCs w:val="22"/>
        </w:rPr>
        <w:t xml:space="preserve">likvidujte </w:t>
      </w:r>
      <w:r w:rsidR="007464DA" w:rsidRPr="00EA4FDC">
        <w:rPr>
          <w:szCs w:val="22"/>
        </w:rPr>
        <w:t>odevzdáním</w:t>
      </w:r>
      <w:r w:rsidR="00730908" w:rsidRPr="00EA4FDC">
        <w:rPr>
          <w:szCs w:val="22"/>
        </w:rPr>
        <w:t xml:space="preserve"> </w:t>
      </w:r>
      <w:r w:rsidR="00DA2A06" w:rsidRPr="00EA4FDC">
        <w:rPr>
          <w:szCs w:val="22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EA4FDC" w:rsidRDefault="0078538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06949C1A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0E3550B0" w14:textId="77777777" w:rsidR="00C114FF" w:rsidRPr="00EA4FDC" w:rsidRDefault="007C0376" w:rsidP="008E7308">
      <w:pPr>
        <w:pStyle w:val="Style1"/>
        <w:ind w:right="-1"/>
        <w:jc w:val="both"/>
      </w:pPr>
      <w:r w:rsidRPr="00EA4FDC">
        <w:t>6.</w:t>
      </w:r>
      <w:r w:rsidRPr="00EA4FDC">
        <w:tab/>
        <w:t>JMÉNO DRŽITELE ROZHODNUTÍ O REGISTRACI</w:t>
      </w:r>
    </w:p>
    <w:p w14:paraId="2E652F1A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18BDF92F" w14:textId="77777777" w:rsidR="006D53D9" w:rsidRPr="00EA4FDC" w:rsidRDefault="006D53D9" w:rsidP="008E7308">
      <w:pPr>
        <w:pStyle w:val="Bezmezer"/>
        <w:ind w:right="-1"/>
        <w:jc w:val="both"/>
        <w:rPr>
          <w:rFonts w:ascii="Times New Roman" w:hAnsi="Times New Roman" w:cs="Times New Roman"/>
          <w:lang w:eastAsia="cs-CZ"/>
        </w:rPr>
      </w:pPr>
      <w:r w:rsidRPr="00EA4FDC">
        <w:rPr>
          <w:rFonts w:ascii="Times New Roman" w:hAnsi="Times New Roman" w:cs="Times New Roman"/>
          <w:lang w:eastAsia="cs-CZ"/>
        </w:rPr>
        <w:t>Bioveta, a. s.</w:t>
      </w:r>
    </w:p>
    <w:p w14:paraId="1F61240C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6CB09C60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4E6BFBAC" w14:textId="77777777" w:rsidR="00C114FF" w:rsidRPr="00EA4FDC" w:rsidRDefault="007C0376" w:rsidP="008E7308">
      <w:pPr>
        <w:pStyle w:val="Style1"/>
        <w:ind w:right="-1"/>
        <w:jc w:val="both"/>
      </w:pPr>
      <w:r w:rsidRPr="00EA4FDC">
        <w:t>7.</w:t>
      </w:r>
      <w:r w:rsidRPr="00EA4FDC">
        <w:tab/>
        <w:t>REGISTRAČNÍ ČÍSLO(A)</w:t>
      </w:r>
    </w:p>
    <w:p w14:paraId="1FA2C56F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68743919" w14:textId="77777777" w:rsidR="006D53D9" w:rsidRPr="00EA4FDC" w:rsidRDefault="006D53D9" w:rsidP="008E7308">
      <w:pPr>
        <w:spacing w:line="240" w:lineRule="auto"/>
        <w:ind w:right="-1"/>
        <w:jc w:val="both"/>
        <w:rPr>
          <w:color w:val="000000"/>
          <w:szCs w:val="22"/>
        </w:rPr>
      </w:pPr>
      <w:r w:rsidRPr="00EA4FDC">
        <w:rPr>
          <w:color w:val="000000"/>
          <w:szCs w:val="22"/>
        </w:rPr>
        <w:t>96/022/</w:t>
      </w:r>
      <w:proofErr w:type="gramStart"/>
      <w:r w:rsidRPr="00EA4FDC">
        <w:rPr>
          <w:color w:val="000000"/>
          <w:szCs w:val="22"/>
        </w:rPr>
        <w:t>19-C</w:t>
      </w:r>
      <w:proofErr w:type="gramEnd"/>
    </w:p>
    <w:p w14:paraId="427D05E5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3749BE7F" w14:textId="77777777" w:rsidR="006D53D9" w:rsidRPr="00EA4FDC" w:rsidRDefault="006D53D9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51580279" w14:textId="77777777" w:rsidR="00C114FF" w:rsidRPr="00EA4FDC" w:rsidRDefault="007C0376" w:rsidP="008E7308">
      <w:pPr>
        <w:pStyle w:val="Style1"/>
        <w:ind w:right="-1"/>
        <w:jc w:val="both"/>
      </w:pPr>
      <w:r w:rsidRPr="00EA4FDC">
        <w:t>8.</w:t>
      </w:r>
      <w:r w:rsidRPr="00EA4FDC">
        <w:tab/>
        <w:t>DATUM PRVNÍ REGISTRACE</w:t>
      </w:r>
    </w:p>
    <w:p w14:paraId="3863C575" w14:textId="77777777" w:rsidR="00C114FF" w:rsidRPr="00EA4FDC" w:rsidRDefault="00C114F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4A7394DC" w14:textId="77777777" w:rsidR="006D53D9" w:rsidRPr="00EA4FDC" w:rsidRDefault="006D53D9" w:rsidP="008E7308">
      <w:pPr>
        <w:spacing w:line="240" w:lineRule="auto"/>
        <w:ind w:right="-1"/>
        <w:jc w:val="both"/>
        <w:rPr>
          <w:szCs w:val="22"/>
        </w:rPr>
      </w:pPr>
      <w:r w:rsidRPr="00EA4FDC">
        <w:rPr>
          <w:szCs w:val="22"/>
        </w:rPr>
        <w:t>29. 3. 2019</w:t>
      </w:r>
    </w:p>
    <w:p w14:paraId="6E98A2F6" w14:textId="77777777" w:rsidR="00D65777" w:rsidRPr="00EA4FDC" w:rsidRDefault="00D65777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70B0A25D" w14:textId="77777777" w:rsidR="00D65777" w:rsidRPr="00EA4FDC" w:rsidRDefault="00D65777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4351B24F" w14:textId="77777777" w:rsidR="00C114FF" w:rsidRPr="00EA4FDC" w:rsidRDefault="007C0376" w:rsidP="00AA798F">
      <w:pPr>
        <w:pStyle w:val="Style1"/>
        <w:keepNext/>
        <w:jc w:val="both"/>
      </w:pPr>
      <w:r w:rsidRPr="00EA4FDC">
        <w:t>9.</w:t>
      </w:r>
      <w:r w:rsidRPr="00EA4FDC">
        <w:tab/>
        <w:t>DATUM POSLEDNÍ AKTUALIZACE SOUHRNU ÚDAJŮ O PŘÍPRAVKU</w:t>
      </w:r>
    </w:p>
    <w:p w14:paraId="30326986" w14:textId="77777777" w:rsidR="00C114FF" w:rsidRPr="00EA4FDC" w:rsidRDefault="00C114FF" w:rsidP="00AA798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190717F1" w14:textId="5890AC30" w:rsidR="00C114FF" w:rsidRPr="00EA4FDC" w:rsidRDefault="00D9221B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  <w:r>
        <w:rPr>
          <w:szCs w:val="22"/>
        </w:rPr>
        <w:t>0</w:t>
      </w:r>
      <w:r w:rsidR="00A772DB">
        <w:rPr>
          <w:szCs w:val="22"/>
        </w:rPr>
        <w:t>9</w:t>
      </w:r>
      <w:r>
        <w:rPr>
          <w:szCs w:val="22"/>
        </w:rPr>
        <w:t>/2026</w:t>
      </w:r>
    </w:p>
    <w:p w14:paraId="224434F8" w14:textId="417D2E57" w:rsidR="0078538F" w:rsidRDefault="0078538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7A678762" w14:textId="77777777" w:rsidR="00AA798F" w:rsidRPr="00EA4FDC" w:rsidRDefault="00AA798F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75C198E0" w14:textId="77777777" w:rsidR="00C114FF" w:rsidRPr="00EA4FDC" w:rsidRDefault="007C0376" w:rsidP="00AA798F">
      <w:pPr>
        <w:pStyle w:val="Style1"/>
        <w:keepNext/>
        <w:jc w:val="both"/>
      </w:pPr>
      <w:r w:rsidRPr="00EA4FDC">
        <w:lastRenderedPageBreak/>
        <w:t>10.</w:t>
      </w:r>
      <w:r w:rsidRPr="00EA4FDC">
        <w:tab/>
        <w:t>KLASIFIKACE VETERINÁRNÍCH LÉČIVÝCH PŘÍPRAVKŮ</w:t>
      </w:r>
    </w:p>
    <w:p w14:paraId="1F12B426" w14:textId="77777777" w:rsidR="0078538F" w:rsidRPr="00EA4FDC" w:rsidRDefault="0078538F" w:rsidP="00AA798F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2B95E980" w14:textId="7BE5D637" w:rsidR="0078538F" w:rsidRPr="00EA4FDC" w:rsidRDefault="007C0376" w:rsidP="00AA798F">
      <w:pPr>
        <w:keepNext/>
        <w:numPr>
          <w:ilvl w:val="12"/>
          <w:numId w:val="0"/>
        </w:numPr>
        <w:spacing w:line="240" w:lineRule="auto"/>
        <w:jc w:val="both"/>
        <w:rPr>
          <w:szCs w:val="22"/>
        </w:rPr>
      </w:pPr>
      <w:r w:rsidRPr="00EA4FDC">
        <w:rPr>
          <w:szCs w:val="22"/>
        </w:rPr>
        <w:t>Veterinární léčivý přípravek je vydáván pouze na předpis.</w:t>
      </w:r>
    </w:p>
    <w:p w14:paraId="05E12133" w14:textId="77777777" w:rsidR="0078538F" w:rsidRPr="00EA4FDC" w:rsidRDefault="0078538F" w:rsidP="00AA798F">
      <w:pPr>
        <w:keepNext/>
        <w:spacing w:line="240" w:lineRule="auto"/>
        <w:jc w:val="both"/>
        <w:rPr>
          <w:szCs w:val="22"/>
        </w:rPr>
      </w:pPr>
    </w:p>
    <w:p w14:paraId="28C35B4C" w14:textId="5D07ABCB" w:rsidR="0078538F" w:rsidRPr="00EA4FDC" w:rsidRDefault="007C0376" w:rsidP="008E7308">
      <w:pPr>
        <w:spacing w:line="240" w:lineRule="auto"/>
        <w:ind w:right="-1"/>
        <w:jc w:val="both"/>
        <w:rPr>
          <w:szCs w:val="22"/>
        </w:rPr>
      </w:pPr>
      <w:bookmarkStart w:id="4" w:name="_Hlk73467306"/>
      <w:r w:rsidRPr="00EA4FDC">
        <w:rPr>
          <w:szCs w:val="22"/>
        </w:rPr>
        <w:t>Podrobné informace o tomto veterinárním léčivém přípravku jsou k dispozici v databázi přípravků Unie (</w:t>
      </w:r>
      <w:hyperlink r:id="rId13" w:history="1">
        <w:r w:rsidR="0078538F" w:rsidRPr="00EA4FDC">
          <w:rPr>
            <w:rStyle w:val="Hypertextovodkaz"/>
            <w:szCs w:val="22"/>
          </w:rPr>
          <w:t>https://medicines.health.europa.eu/veterinary</w:t>
        </w:r>
      </w:hyperlink>
      <w:r w:rsidRPr="00EA4FDC">
        <w:rPr>
          <w:szCs w:val="22"/>
        </w:rPr>
        <w:t>)</w:t>
      </w:r>
      <w:r w:rsidRPr="00EA4FDC">
        <w:rPr>
          <w:i/>
          <w:szCs w:val="22"/>
        </w:rPr>
        <w:t>.</w:t>
      </w:r>
    </w:p>
    <w:bookmarkEnd w:id="4"/>
    <w:p w14:paraId="2C36D238" w14:textId="77777777" w:rsidR="005A1862" w:rsidRPr="00EA4FDC" w:rsidRDefault="005A1862" w:rsidP="008E7308">
      <w:pPr>
        <w:tabs>
          <w:tab w:val="clear" w:pos="567"/>
        </w:tabs>
        <w:spacing w:line="240" w:lineRule="auto"/>
        <w:ind w:right="-1"/>
        <w:jc w:val="both"/>
        <w:rPr>
          <w:szCs w:val="22"/>
        </w:rPr>
      </w:pPr>
    </w:p>
    <w:p w14:paraId="72BBFD3F" w14:textId="65D94533" w:rsidR="005F346D" w:rsidRPr="00EA4FDC" w:rsidRDefault="005A1862" w:rsidP="008E7308">
      <w:pPr>
        <w:spacing w:line="240" w:lineRule="auto"/>
        <w:ind w:right="-1"/>
        <w:jc w:val="both"/>
        <w:rPr>
          <w:szCs w:val="22"/>
        </w:rPr>
      </w:pPr>
      <w:r w:rsidRPr="00EA4FDC">
        <w:rPr>
          <w:szCs w:val="22"/>
        </w:rPr>
        <w:t>Podrobné informace o tomto veterinárním léčivém přípravku naleznete také v národní databázi (</w:t>
      </w:r>
      <w:hyperlink r:id="rId14" w:history="1">
        <w:r w:rsidRPr="00EA4FDC">
          <w:rPr>
            <w:rStyle w:val="Hypertextovodkaz"/>
            <w:szCs w:val="22"/>
          </w:rPr>
          <w:t>https://www.uskvbl.cz</w:t>
        </w:r>
      </w:hyperlink>
      <w:r w:rsidRPr="00EA4FDC">
        <w:rPr>
          <w:szCs w:val="22"/>
        </w:rPr>
        <w:t>).</w:t>
      </w:r>
    </w:p>
    <w:sectPr w:rsidR="005F346D" w:rsidRPr="00EA4FDC" w:rsidSect="003837F1">
      <w:footerReference w:type="default" r:id="rId15"/>
      <w:footerReference w:type="first" r:id="rId1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6F06E" w14:textId="77777777" w:rsidR="006C16EA" w:rsidRDefault="006C16EA">
      <w:pPr>
        <w:spacing w:line="240" w:lineRule="auto"/>
      </w:pPr>
      <w:r>
        <w:separator/>
      </w:r>
    </w:p>
  </w:endnote>
  <w:endnote w:type="continuationSeparator" w:id="0">
    <w:p w14:paraId="00BC300B" w14:textId="77777777" w:rsidR="006C16EA" w:rsidRDefault="006C16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C037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C037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5CAC46" w14:textId="77777777" w:rsidR="006C16EA" w:rsidRDefault="006C16EA">
      <w:pPr>
        <w:spacing w:line="240" w:lineRule="auto"/>
      </w:pPr>
      <w:r>
        <w:separator/>
      </w:r>
    </w:p>
  </w:footnote>
  <w:footnote w:type="continuationSeparator" w:id="0">
    <w:p w14:paraId="2E7D9ACE" w14:textId="77777777" w:rsidR="006C16EA" w:rsidRDefault="006C16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030A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3A09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BE89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1A9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6483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E2E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CF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F0D6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40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ACACF0F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1028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948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E83B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F6E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A2E3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300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D8A9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7E44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75673D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11A004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7E00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50C0EE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5EE1C9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E9D8A95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31AE20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2A4CC1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C94DC0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888BB5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F28C46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4B693E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C20406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C2CBD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E18FA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594DA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42072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51EBA0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1765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0F2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A21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CE6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2C5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DEE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54E0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C415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A0B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51CF5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918FB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50B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10DA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3AA2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EAC58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F678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9E27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67670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349002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052AF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A7E0E0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7F4AB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104CFF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9AE9A7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1EE574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0F28C6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F361D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605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7C6AD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7CE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E3E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CB1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C14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66D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8E8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22EE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FDBE274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68625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1DA5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BC8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622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D6D1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0B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46D5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8A08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E49CBE2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3B44F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E298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4A1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862C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CCA1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605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CA1D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6273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9A428F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327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DCB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A25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4CBB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9878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3C1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3EF2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A7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7F0F49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C14FB4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24A7C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5FEBB1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0AE636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97C256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E28DB0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216D1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980612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1321B2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496F9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F25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D6C9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8856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80CE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4E2D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AC44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220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2D626EE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EFE1C80" w:tentative="1">
      <w:start w:val="1"/>
      <w:numFmt w:val="lowerLetter"/>
      <w:lvlText w:val="%2."/>
      <w:lvlJc w:val="left"/>
      <w:pPr>
        <w:ind w:left="1440" w:hanging="360"/>
      </w:pPr>
    </w:lvl>
    <w:lvl w:ilvl="2" w:tplc="A7D0684E" w:tentative="1">
      <w:start w:val="1"/>
      <w:numFmt w:val="lowerRoman"/>
      <w:lvlText w:val="%3."/>
      <w:lvlJc w:val="right"/>
      <w:pPr>
        <w:ind w:left="2160" w:hanging="180"/>
      </w:pPr>
    </w:lvl>
    <w:lvl w:ilvl="3" w:tplc="F11E9386" w:tentative="1">
      <w:start w:val="1"/>
      <w:numFmt w:val="decimal"/>
      <w:lvlText w:val="%4."/>
      <w:lvlJc w:val="left"/>
      <w:pPr>
        <w:ind w:left="2880" w:hanging="360"/>
      </w:pPr>
    </w:lvl>
    <w:lvl w:ilvl="4" w:tplc="1DDC0744" w:tentative="1">
      <w:start w:val="1"/>
      <w:numFmt w:val="lowerLetter"/>
      <w:lvlText w:val="%5."/>
      <w:lvlJc w:val="left"/>
      <w:pPr>
        <w:ind w:left="3600" w:hanging="360"/>
      </w:pPr>
    </w:lvl>
    <w:lvl w:ilvl="5" w:tplc="35F8C80C" w:tentative="1">
      <w:start w:val="1"/>
      <w:numFmt w:val="lowerRoman"/>
      <w:lvlText w:val="%6."/>
      <w:lvlJc w:val="right"/>
      <w:pPr>
        <w:ind w:left="4320" w:hanging="180"/>
      </w:pPr>
    </w:lvl>
    <w:lvl w:ilvl="6" w:tplc="2B522F56" w:tentative="1">
      <w:start w:val="1"/>
      <w:numFmt w:val="decimal"/>
      <w:lvlText w:val="%7."/>
      <w:lvlJc w:val="left"/>
      <w:pPr>
        <w:ind w:left="5040" w:hanging="360"/>
      </w:pPr>
    </w:lvl>
    <w:lvl w:ilvl="7" w:tplc="60366EFE" w:tentative="1">
      <w:start w:val="1"/>
      <w:numFmt w:val="lowerLetter"/>
      <w:lvlText w:val="%8."/>
      <w:lvlJc w:val="left"/>
      <w:pPr>
        <w:ind w:left="5760" w:hanging="360"/>
      </w:pPr>
    </w:lvl>
    <w:lvl w:ilvl="8" w:tplc="89FA9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E431B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ECA44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4BC1B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322F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493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92A70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C2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EED0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D24C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FE4F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92B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505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366B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461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BAAD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0427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8CF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C4E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989401D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1D00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E0D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86B4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5ADF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D270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F4A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785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FAFF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9CE2292E">
      <w:start w:val="1"/>
      <w:numFmt w:val="decimal"/>
      <w:lvlText w:val="%1."/>
      <w:lvlJc w:val="left"/>
      <w:pPr>
        <w:ind w:left="720" w:hanging="360"/>
      </w:pPr>
    </w:lvl>
    <w:lvl w:ilvl="1" w:tplc="2ABE1380" w:tentative="1">
      <w:start w:val="1"/>
      <w:numFmt w:val="lowerLetter"/>
      <w:lvlText w:val="%2."/>
      <w:lvlJc w:val="left"/>
      <w:pPr>
        <w:ind w:left="1440" w:hanging="360"/>
      </w:pPr>
    </w:lvl>
    <w:lvl w:ilvl="2" w:tplc="54D4BAA2" w:tentative="1">
      <w:start w:val="1"/>
      <w:numFmt w:val="lowerRoman"/>
      <w:lvlText w:val="%3."/>
      <w:lvlJc w:val="right"/>
      <w:pPr>
        <w:ind w:left="2160" w:hanging="180"/>
      </w:pPr>
    </w:lvl>
    <w:lvl w:ilvl="3" w:tplc="6EBA7166" w:tentative="1">
      <w:start w:val="1"/>
      <w:numFmt w:val="decimal"/>
      <w:lvlText w:val="%4."/>
      <w:lvlJc w:val="left"/>
      <w:pPr>
        <w:ind w:left="2880" w:hanging="360"/>
      </w:pPr>
    </w:lvl>
    <w:lvl w:ilvl="4" w:tplc="B06EE42C" w:tentative="1">
      <w:start w:val="1"/>
      <w:numFmt w:val="lowerLetter"/>
      <w:lvlText w:val="%5."/>
      <w:lvlJc w:val="left"/>
      <w:pPr>
        <w:ind w:left="3600" w:hanging="360"/>
      </w:pPr>
    </w:lvl>
    <w:lvl w:ilvl="5" w:tplc="FE7A1D92" w:tentative="1">
      <w:start w:val="1"/>
      <w:numFmt w:val="lowerRoman"/>
      <w:lvlText w:val="%6."/>
      <w:lvlJc w:val="right"/>
      <w:pPr>
        <w:ind w:left="4320" w:hanging="180"/>
      </w:pPr>
    </w:lvl>
    <w:lvl w:ilvl="6" w:tplc="CF1C1F86" w:tentative="1">
      <w:start w:val="1"/>
      <w:numFmt w:val="decimal"/>
      <w:lvlText w:val="%7."/>
      <w:lvlJc w:val="left"/>
      <w:pPr>
        <w:ind w:left="5040" w:hanging="360"/>
      </w:pPr>
    </w:lvl>
    <w:lvl w:ilvl="7" w:tplc="D6F619CE" w:tentative="1">
      <w:start w:val="1"/>
      <w:numFmt w:val="lowerLetter"/>
      <w:lvlText w:val="%8."/>
      <w:lvlJc w:val="left"/>
      <w:pPr>
        <w:ind w:left="5760" w:hanging="360"/>
      </w:pPr>
    </w:lvl>
    <w:lvl w:ilvl="8" w:tplc="43D47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B6EAE24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7A20C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5C089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9AF5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2C2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0C66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C40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1C89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9A2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1FE1"/>
    <w:rsid w:val="00020C11"/>
    <w:rsid w:val="00021B82"/>
    <w:rsid w:val="00024777"/>
    <w:rsid w:val="00024E21"/>
    <w:rsid w:val="00027100"/>
    <w:rsid w:val="00030AD8"/>
    <w:rsid w:val="000349AA"/>
    <w:rsid w:val="00036C50"/>
    <w:rsid w:val="00042D51"/>
    <w:rsid w:val="00052D2B"/>
    <w:rsid w:val="00054F55"/>
    <w:rsid w:val="00056EE7"/>
    <w:rsid w:val="00062945"/>
    <w:rsid w:val="00063946"/>
    <w:rsid w:val="000656EC"/>
    <w:rsid w:val="00067023"/>
    <w:rsid w:val="00080453"/>
    <w:rsid w:val="00080652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3150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1E7D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2765E"/>
    <w:rsid w:val="0023676E"/>
    <w:rsid w:val="00237321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29F1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315C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0184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6407"/>
    <w:rsid w:val="003535E0"/>
    <w:rsid w:val="003543AC"/>
    <w:rsid w:val="00355AB8"/>
    <w:rsid w:val="00355D02"/>
    <w:rsid w:val="00361607"/>
    <w:rsid w:val="00361E3A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412F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6351"/>
    <w:rsid w:val="00474C50"/>
    <w:rsid w:val="004768DB"/>
    <w:rsid w:val="004771F9"/>
    <w:rsid w:val="004774B1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B7EEC"/>
    <w:rsid w:val="004C0568"/>
    <w:rsid w:val="004C2ABD"/>
    <w:rsid w:val="004C2E2B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478B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90162"/>
    <w:rsid w:val="005A0882"/>
    <w:rsid w:val="005A1862"/>
    <w:rsid w:val="005A4CBE"/>
    <w:rsid w:val="005B04A8"/>
    <w:rsid w:val="005B1FD0"/>
    <w:rsid w:val="005B28AD"/>
    <w:rsid w:val="005B328D"/>
    <w:rsid w:val="005B3503"/>
    <w:rsid w:val="005B3EE7"/>
    <w:rsid w:val="005B4948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023"/>
    <w:rsid w:val="00602D3B"/>
    <w:rsid w:val="0060326F"/>
    <w:rsid w:val="00606EA1"/>
    <w:rsid w:val="006128F0"/>
    <w:rsid w:val="006149F6"/>
    <w:rsid w:val="00616F9E"/>
    <w:rsid w:val="0061726B"/>
    <w:rsid w:val="00617B81"/>
    <w:rsid w:val="00620FEF"/>
    <w:rsid w:val="00621EBE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5640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16EA"/>
    <w:rsid w:val="006C4775"/>
    <w:rsid w:val="006C4F4A"/>
    <w:rsid w:val="006C5E80"/>
    <w:rsid w:val="006C7CEE"/>
    <w:rsid w:val="006D075E"/>
    <w:rsid w:val="006D09DC"/>
    <w:rsid w:val="006D3509"/>
    <w:rsid w:val="006D53D9"/>
    <w:rsid w:val="006D7C6E"/>
    <w:rsid w:val="006E15A2"/>
    <w:rsid w:val="006E2F95"/>
    <w:rsid w:val="006E7D8D"/>
    <w:rsid w:val="006F148B"/>
    <w:rsid w:val="00705EAF"/>
    <w:rsid w:val="0070773E"/>
    <w:rsid w:val="007101CC"/>
    <w:rsid w:val="00715C55"/>
    <w:rsid w:val="0072339D"/>
    <w:rsid w:val="00724E3B"/>
    <w:rsid w:val="00725EEA"/>
    <w:rsid w:val="007276B6"/>
    <w:rsid w:val="00730908"/>
    <w:rsid w:val="00730CE9"/>
    <w:rsid w:val="0073373D"/>
    <w:rsid w:val="00736B1E"/>
    <w:rsid w:val="007439DB"/>
    <w:rsid w:val="00745DE7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0376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39AF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5E36"/>
    <w:rsid w:val="0082153D"/>
    <w:rsid w:val="008255AA"/>
    <w:rsid w:val="00830FF3"/>
    <w:rsid w:val="008334BF"/>
    <w:rsid w:val="00836B8C"/>
    <w:rsid w:val="00840062"/>
    <w:rsid w:val="008410C5"/>
    <w:rsid w:val="00846028"/>
    <w:rsid w:val="00846C08"/>
    <w:rsid w:val="00850794"/>
    <w:rsid w:val="00852FF2"/>
    <w:rsid w:val="008530E7"/>
    <w:rsid w:val="00856BDB"/>
    <w:rsid w:val="00857675"/>
    <w:rsid w:val="00860799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2CCA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A7C43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5219"/>
    <w:rsid w:val="008E64B1"/>
    <w:rsid w:val="008E64FA"/>
    <w:rsid w:val="008E7308"/>
    <w:rsid w:val="008E74ED"/>
    <w:rsid w:val="008E7ED6"/>
    <w:rsid w:val="008F450A"/>
    <w:rsid w:val="008F4DEF"/>
    <w:rsid w:val="0090315B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5FEB"/>
    <w:rsid w:val="00976467"/>
    <w:rsid w:val="00976D32"/>
    <w:rsid w:val="009844F7"/>
    <w:rsid w:val="009938F7"/>
    <w:rsid w:val="00995A7D"/>
    <w:rsid w:val="00995E29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72DB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A798F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2F6"/>
    <w:rsid w:val="00AF45ED"/>
    <w:rsid w:val="00B00CA4"/>
    <w:rsid w:val="00B02195"/>
    <w:rsid w:val="00B075D6"/>
    <w:rsid w:val="00B10790"/>
    <w:rsid w:val="00B113B9"/>
    <w:rsid w:val="00B119A2"/>
    <w:rsid w:val="00B13B6D"/>
    <w:rsid w:val="00B15993"/>
    <w:rsid w:val="00B177F2"/>
    <w:rsid w:val="00B201F1"/>
    <w:rsid w:val="00B2603F"/>
    <w:rsid w:val="00B304E7"/>
    <w:rsid w:val="00B318B6"/>
    <w:rsid w:val="00B3499B"/>
    <w:rsid w:val="00B36CCB"/>
    <w:rsid w:val="00B36E65"/>
    <w:rsid w:val="00B407FF"/>
    <w:rsid w:val="00B41D57"/>
    <w:rsid w:val="00B41F47"/>
    <w:rsid w:val="00B44468"/>
    <w:rsid w:val="00B576A7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07E7B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922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1D60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221B"/>
    <w:rsid w:val="00D95BBB"/>
    <w:rsid w:val="00D97E7D"/>
    <w:rsid w:val="00DA02F1"/>
    <w:rsid w:val="00DA16B5"/>
    <w:rsid w:val="00DA2A06"/>
    <w:rsid w:val="00DB1C8C"/>
    <w:rsid w:val="00DB3439"/>
    <w:rsid w:val="00DB3618"/>
    <w:rsid w:val="00DB42DE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263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4FDC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47EC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B73CC"/>
    <w:rsid w:val="00FC02F3"/>
    <w:rsid w:val="00FC20DA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6168"/>
    <w:rsid w:val="00FF18D2"/>
    <w:rsid w:val="00FF22F5"/>
    <w:rsid w:val="00FF390D"/>
    <w:rsid w:val="00FF406C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8C8CF2F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Bezmezer">
    <w:name w:val="No Spacing"/>
    <w:uiPriority w:val="1"/>
    <w:qFormat/>
    <w:rsid w:val="006D53D9"/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5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1FDE9-92EC-4F10-BF16-5554493E5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1465</Words>
  <Characters>8646</Characters>
  <Application>Microsoft Office Word</Application>
  <DocSecurity>0</DocSecurity>
  <Lines>72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Dana Studená</cp:lastModifiedBy>
  <cp:revision>26</cp:revision>
  <cp:lastPrinted>2022-10-26T09:04:00Z</cp:lastPrinted>
  <dcterms:created xsi:type="dcterms:W3CDTF">2026-07-01T13:10:00Z</dcterms:created>
  <dcterms:modified xsi:type="dcterms:W3CDTF">2026-09-02T11:43:00Z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