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F677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1350C51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B267E8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ECFF71A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B476AEC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DDDCEB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14FA9AE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82D4D68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CFF5669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AA2ECDD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765915B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E863D4F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EEAACE1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BF721E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2DBB56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1CA927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361067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C40ED99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1E7EA8A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91D6F7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94954E9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D4B4915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C3F8DAE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D2B5183" w14:textId="77777777" w:rsidR="009A1A5E" w:rsidRPr="00FF4016" w:rsidRDefault="00D34925" w:rsidP="00D3492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F4016">
        <w:rPr>
          <w:b/>
          <w:szCs w:val="22"/>
        </w:rPr>
        <w:t>PŘÍLOHA I</w:t>
      </w:r>
    </w:p>
    <w:p w14:paraId="71E2C775" w14:textId="77777777" w:rsidR="009A1A5E" w:rsidRPr="00FF4016" w:rsidRDefault="009A1A5E" w:rsidP="00D34925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40ACE8A" w14:textId="77777777" w:rsidR="009A1A5E" w:rsidRPr="00FF4016" w:rsidRDefault="00D34925" w:rsidP="00D3492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F4016">
        <w:rPr>
          <w:b/>
          <w:szCs w:val="22"/>
        </w:rPr>
        <w:t>SOUHRN ÚDAJŮ O PŘÍPRAVKU</w:t>
      </w:r>
    </w:p>
    <w:p w14:paraId="4DA24180" w14:textId="77777777" w:rsidR="009A1A5E" w:rsidRPr="00FF4016" w:rsidRDefault="00D34925" w:rsidP="00D34925">
      <w:pPr>
        <w:pStyle w:val="Style1"/>
      </w:pPr>
      <w:r w:rsidRPr="00FF4016">
        <w:br w:type="page"/>
      </w:r>
      <w:r w:rsidRPr="00FF4016">
        <w:lastRenderedPageBreak/>
        <w:t>1.</w:t>
      </w:r>
      <w:r w:rsidRPr="00FF4016">
        <w:tab/>
        <w:t>NÁZEV VETERINÁRNÍHO LÉČIVÉHO PŘÍPRAVKU</w:t>
      </w:r>
    </w:p>
    <w:p w14:paraId="64B79C45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2F2FBEC" w14:textId="77777777" w:rsidR="009A1A5E" w:rsidRPr="00FF4016" w:rsidRDefault="00D34925" w:rsidP="00D34925">
      <w:pPr>
        <w:tabs>
          <w:tab w:val="clear" w:pos="567"/>
        </w:tabs>
        <w:spacing w:line="240" w:lineRule="auto"/>
      </w:pPr>
      <w:r w:rsidRPr="00FF4016">
        <w:t>TROXXAN 100 mg/ml injekční roztok pro skot, prasata a ovce</w:t>
      </w:r>
    </w:p>
    <w:p w14:paraId="6EB78C69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29285C5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A228027" w14:textId="77777777" w:rsidR="009A1A5E" w:rsidRPr="00FF4016" w:rsidRDefault="00D34925" w:rsidP="00D34925">
      <w:pPr>
        <w:pStyle w:val="Style1"/>
      </w:pPr>
      <w:r w:rsidRPr="00FF4016">
        <w:t>2.</w:t>
      </w:r>
      <w:r w:rsidRPr="00FF4016">
        <w:tab/>
        <w:t>KVALITATIVNÍ A KVANTITATIVNÍ SLOŽENÍ</w:t>
      </w:r>
    </w:p>
    <w:p w14:paraId="389B2ABD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33C374F2" w14:textId="77777777" w:rsidR="009A1A5E" w:rsidRPr="00FF4016" w:rsidRDefault="00D34925" w:rsidP="00D34925">
      <w:pPr>
        <w:pStyle w:val="Zkladntext"/>
        <w:jc w:val="left"/>
      </w:pPr>
      <w:r w:rsidRPr="00FF4016">
        <w:t>Každý ml obsahuje:</w:t>
      </w:r>
    </w:p>
    <w:p w14:paraId="6C6A2B0C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400261F9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b/>
          <w:szCs w:val="22"/>
        </w:rPr>
      </w:pPr>
      <w:r w:rsidRPr="00FF4016">
        <w:rPr>
          <w:b/>
          <w:szCs w:val="22"/>
        </w:rPr>
        <w:t>Léčivé látky:</w:t>
      </w:r>
    </w:p>
    <w:p w14:paraId="3675559D" w14:textId="77777777" w:rsidR="009A1A5E" w:rsidRPr="00FF4016" w:rsidRDefault="00D34925" w:rsidP="00D34925">
      <w:pPr>
        <w:pStyle w:val="Zkladntext"/>
        <w:tabs>
          <w:tab w:val="left" w:pos="2278"/>
        </w:tabs>
        <w:jc w:val="left"/>
      </w:pPr>
      <w:proofErr w:type="spellStart"/>
      <w:r w:rsidRPr="00FF4016">
        <w:t>Tulathromycinum</w:t>
      </w:r>
      <w:proofErr w:type="spellEnd"/>
      <w:r w:rsidRPr="00FF4016">
        <w:tab/>
        <w:t>100</w:t>
      </w:r>
      <w:r w:rsidRPr="00FF4016">
        <w:rPr>
          <w:spacing w:val="-4"/>
        </w:rPr>
        <w:t> mg</w:t>
      </w:r>
    </w:p>
    <w:p w14:paraId="4E623ECD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75B03B" w14:textId="58DC4730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A1A5E" w:rsidRPr="00FF4016" w14:paraId="2492BA38" w14:textId="77777777">
        <w:tc>
          <w:tcPr>
            <w:tcW w:w="4527" w:type="dxa"/>
            <w:vAlign w:val="center"/>
          </w:tcPr>
          <w:p w14:paraId="65F6ACA9" w14:textId="77777777" w:rsidR="009A1A5E" w:rsidRPr="00FF4016" w:rsidRDefault="00D34925" w:rsidP="00D34925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F401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434AB872" w14:textId="77777777" w:rsidR="009A1A5E" w:rsidRPr="00FF4016" w:rsidRDefault="00D34925" w:rsidP="00D34925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F4016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A1A5E" w:rsidRPr="00FF4016" w14:paraId="416A6497" w14:textId="77777777">
        <w:tc>
          <w:tcPr>
            <w:tcW w:w="4527" w:type="dxa"/>
            <w:vAlign w:val="center"/>
          </w:tcPr>
          <w:p w14:paraId="2BFEB0CA" w14:textId="77777777" w:rsidR="009A1A5E" w:rsidRPr="00FF4016" w:rsidRDefault="00D34925" w:rsidP="00D34925">
            <w:pPr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FF4016">
              <w:t>Thioglycerol</w:t>
            </w:r>
            <w:proofErr w:type="spellEnd"/>
          </w:p>
        </w:tc>
        <w:tc>
          <w:tcPr>
            <w:tcW w:w="4534" w:type="dxa"/>
            <w:vAlign w:val="center"/>
          </w:tcPr>
          <w:p w14:paraId="64D102EF" w14:textId="77777777" w:rsidR="009A1A5E" w:rsidRPr="00FF4016" w:rsidRDefault="00D34925" w:rsidP="00D34925">
            <w:pPr>
              <w:pStyle w:val="Zkladntext"/>
              <w:tabs>
                <w:tab w:val="left" w:pos="2278"/>
              </w:tabs>
              <w:jc w:val="left"/>
            </w:pPr>
            <w:r w:rsidRPr="00FF4016">
              <w:t>5</w:t>
            </w:r>
            <w:r w:rsidRPr="00FF4016">
              <w:rPr>
                <w:spacing w:val="-3"/>
              </w:rPr>
              <w:t> mg</w:t>
            </w:r>
          </w:p>
        </w:tc>
      </w:tr>
      <w:tr w:rsidR="009A1A5E" w:rsidRPr="00FF4016" w14:paraId="28B7B2B8" w14:textId="77777777">
        <w:tc>
          <w:tcPr>
            <w:tcW w:w="4527" w:type="dxa"/>
          </w:tcPr>
          <w:p w14:paraId="29A1BF90" w14:textId="77777777" w:rsidR="009A1A5E" w:rsidRPr="00FF4016" w:rsidRDefault="00D34925" w:rsidP="00D34925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F4016">
              <w:t>Propylenglykol</w:t>
            </w:r>
            <w:proofErr w:type="spellEnd"/>
          </w:p>
        </w:tc>
        <w:tc>
          <w:tcPr>
            <w:tcW w:w="4534" w:type="dxa"/>
            <w:vAlign w:val="center"/>
          </w:tcPr>
          <w:p w14:paraId="3D3EAE76" w14:textId="77777777" w:rsidR="009A1A5E" w:rsidRPr="00FF4016" w:rsidRDefault="009A1A5E" w:rsidP="00D34925">
            <w:pPr>
              <w:spacing w:line="240" w:lineRule="auto"/>
              <w:rPr>
                <w:iCs/>
                <w:szCs w:val="22"/>
              </w:rPr>
            </w:pPr>
          </w:p>
        </w:tc>
      </w:tr>
      <w:tr w:rsidR="009A1A5E" w:rsidRPr="00FF4016" w14:paraId="4A3E3CB1" w14:textId="77777777">
        <w:tc>
          <w:tcPr>
            <w:tcW w:w="4527" w:type="dxa"/>
          </w:tcPr>
          <w:p w14:paraId="2A500C1F" w14:textId="77777777" w:rsidR="009A1A5E" w:rsidRPr="00FF4016" w:rsidRDefault="00D34925" w:rsidP="00D34925">
            <w:pPr>
              <w:spacing w:line="240" w:lineRule="auto"/>
              <w:rPr>
                <w:iCs/>
                <w:szCs w:val="22"/>
              </w:rPr>
            </w:pPr>
            <w:r w:rsidRPr="00FF4016">
              <w:t>Kyselina citronová</w:t>
            </w:r>
          </w:p>
        </w:tc>
        <w:tc>
          <w:tcPr>
            <w:tcW w:w="4534" w:type="dxa"/>
            <w:vAlign w:val="center"/>
          </w:tcPr>
          <w:p w14:paraId="5BEDBB7B" w14:textId="77777777" w:rsidR="009A1A5E" w:rsidRPr="00FF4016" w:rsidRDefault="009A1A5E" w:rsidP="00D34925">
            <w:pPr>
              <w:spacing w:line="240" w:lineRule="auto"/>
              <w:rPr>
                <w:iCs/>
                <w:szCs w:val="22"/>
              </w:rPr>
            </w:pPr>
          </w:p>
        </w:tc>
      </w:tr>
      <w:tr w:rsidR="009A1A5E" w:rsidRPr="00FF4016" w14:paraId="53C89F35" w14:textId="77777777">
        <w:tc>
          <w:tcPr>
            <w:tcW w:w="4527" w:type="dxa"/>
          </w:tcPr>
          <w:p w14:paraId="50AB386D" w14:textId="77777777" w:rsidR="009A1A5E" w:rsidRPr="00FF4016" w:rsidRDefault="00D34925" w:rsidP="00D34925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F4016">
              <w:t>Zředěná kyselina chlorovodíková (pro úpravu pH)</w:t>
            </w:r>
          </w:p>
        </w:tc>
        <w:tc>
          <w:tcPr>
            <w:tcW w:w="4534" w:type="dxa"/>
            <w:vAlign w:val="center"/>
          </w:tcPr>
          <w:p w14:paraId="53A09D8A" w14:textId="77777777" w:rsidR="009A1A5E" w:rsidRPr="00FF4016" w:rsidRDefault="009A1A5E" w:rsidP="00D34925">
            <w:pPr>
              <w:spacing w:line="240" w:lineRule="auto"/>
              <w:rPr>
                <w:iCs/>
                <w:szCs w:val="22"/>
              </w:rPr>
            </w:pPr>
          </w:p>
        </w:tc>
      </w:tr>
      <w:tr w:rsidR="009A1A5E" w:rsidRPr="00FF4016" w14:paraId="46391EFD" w14:textId="77777777">
        <w:tc>
          <w:tcPr>
            <w:tcW w:w="4527" w:type="dxa"/>
          </w:tcPr>
          <w:p w14:paraId="5290998E" w14:textId="77777777" w:rsidR="009A1A5E" w:rsidRPr="00FF4016" w:rsidRDefault="00D34925" w:rsidP="00D34925">
            <w:pPr>
              <w:spacing w:line="240" w:lineRule="auto"/>
              <w:rPr>
                <w:iCs/>
                <w:szCs w:val="22"/>
              </w:rPr>
            </w:pPr>
            <w:r w:rsidRPr="00FF4016">
              <w:t>Hydroxid sodný (pro úpravu pH)</w:t>
            </w:r>
          </w:p>
        </w:tc>
        <w:tc>
          <w:tcPr>
            <w:tcW w:w="4534" w:type="dxa"/>
            <w:vAlign w:val="center"/>
          </w:tcPr>
          <w:p w14:paraId="105FCC9B" w14:textId="77777777" w:rsidR="009A1A5E" w:rsidRPr="00FF4016" w:rsidRDefault="009A1A5E" w:rsidP="00D34925">
            <w:pPr>
              <w:spacing w:line="240" w:lineRule="auto"/>
              <w:rPr>
                <w:iCs/>
                <w:szCs w:val="22"/>
              </w:rPr>
            </w:pPr>
          </w:p>
        </w:tc>
      </w:tr>
      <w:tr w:rsidR="009A1A5E" w:rsidRPr="00FF4016" w14:paraId="66F71DE8" w14:textId="77777777">
        <w:tc>
          <w:tcPr>
            <w:tcW w:w="4527" w:type="dxa"/>
          </w:tcPr>
          <w:p w14:paraId="1866B118" w14:textId="77777777" w:rsidR="009A1A5E" w:rsidRPr="00FF4016" w:rsidRDefault="00D34925" w:rsidP="00D34925">
            <w:pPr>
              <w:spacing w:line="240" w:lineRule="auto"/>
              <w:rPr>
                <w:iCs/>
                <w:szCs w:val="22"/>
              </w:rPr>
            </w:pPr>
            <w:r w:rsidRPr="00FF4016">
              <w:t>Voda pro injekci</w:t>
            </w:r>
          </w:p>
        </w:tc>
        <w:tc>
          <w:tcPr>
            <w:tcW w:w="4534" w:type="dxa"/>
            <w:vAlign w:val="center"/>
          </w:tcPr>
          <w:p w14:paraId="36A4AFC0" w14:textId="77777777" w:rsidR="009A1A5E" w:rsidRPr="00FF4016" w:rsidRDefault="009A1A5E" w:rsidP="00D34925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1434039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C03969B" w14:textId="77777777" w:rsidR="009A1A5E" w:rsidRPr="00FF4016" w:rsidRDefault="00D34925" w:rsidP="00D34925">
      <w:pPr>
        <w:pStyle w:val="Zkladntext"/>
        <w:jc w:val="left"/>
      </w:pPr>
      <w:r w:rsidRPr="00FF4016">
        <w:t>Čirý bezbarvý až světle žlutý roztok, bez viditelných částic.</w:t>
      </w:r>
    </w:p>
    <w:p w14:paraId="30B5B896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6772B2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4BE8C9E" w14:textId="77777777" w:rsidR="009A1A5E" w:rsidRPr="00FF4016" w:rsidRDefault="00D34925" w:rsidP="00D34925">
      <w:pPr>
        <w:pStyle w:val="Style1"/>
      </w:pPr>
      <w:r w:rsidRPr="00FF4016">
        <w:t>3.</w:t>
      </w:r>
      <w:r w:rsidRPr="00FF4016">
        <w:tab/>
        <w:t>KLINICKÉ INFORMACE</w:t>
      </w:r>
    </w:p>
    <w:p w14:paraId="7D257E5C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26D7E05" w14:textId="77777777" w:rsidR="009A1A5E" w:rsidRPr="00FF4016" w:rsidRDefault="00D34925" w:rsidP="00D34925">
      <w:pPr>
        <w:pStyle w:val="Style1"/>
      </w:pPr>
      <w:r w:rsidRPr="00FF4016">
        <w:t>3.1</w:t>
      </w:r>
      <w:r w:rsidRPr="00FF4016">
        <w:tab/>
        <w:t>Cílové druhy zvířat</w:t>
      </w:r>
    </w:p>
    <w:p w14:paraId="5D883D30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EA03D31" w14:textId="77777777" w:rsidR="009A1A5E" w:rsidRPr="00FF4016" w:rsidRDefault="00D34925" w:rsidP="00D34925">
      <w:pPr>
        <w:pStyle w:val="Zkladntext"/>
        <w:jc w:val="left"/>
      </w:pPr>
      <w:r w:rsidRPr="00FF4016">
        <w:t>Skot, prasata a ovce.</w:t>
      </w:r>
    </w:p>
    <w:p w14:paraId="74586A1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EEA3C9B" w14:textId="77777777" w:rsidR="009A1A5E" w:rsidRPr="00FF4016" w:rsidRDefault="00D34925" w:rsidP="00D34925">
      <w:pPr>
        <w:pStyle w:val="Style1"/>
      </w:pPr>
      <w:r w:rsidRPr="00FF4016">
        <w:t>3.2</w:t>
      </w:r>
      <w:r w:rsidRPr="00FF4016">
        <w:tab/>
        <w:t>Indikace pro použití pro každý cílový druh zvířat</w:t>
      </w:r>
    </w:p>
    <w:p w14:paraId="7B24011D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2F4BAAA6" w14:textId="77777777" w:rsidR="009A1A5E" w:rsidRPr="00FF4016" w:rsidRDefault="00D34925" w:rsidP="00D34925">
      <w:pPr>
        <w:pStyle w:val="Zkladntext"/>
        <w:jc w:val="left"/>
      </w:pPr>
      <w:r w:rsidRPr="00FF4016">
        <w:rPr>
          <w:u w:val="single"/>
        </w:rPr>
        <w:t>Skot</w:t>
      </w:r>
    </w:p>
    <w:p w14:paraId="04DE788D" w14:textId="70F6D6D6" w:rsidR="009A1A5E" w:rsidRPr="00FF4016" w:rsidRDefault="00D34925" w:rsidP="00D34925">
      <w:pPr>
        <w:spacing w:line="240" w:lineRule="auto"/>
      </w:pPr>
      <w:r w:rsidRPr="00FF4016">
        <w:t xml:space="preserve">Léčba a </w:t>
      </w:r>
      <w:proofErr w:type="spellStart"/>
      <w:r w:rsidRPr="00FF4016">
        <w:t>metafylaxe</w:t>
      </w:r>
      <w:proofErr w:type="spellEnd"/>
      <w:r w:rsidRPr="00FF4016">
        <w:t xml:space="preserve"> bovinní respirační choroby (BRD) spojené s </w:t>
      </w:r>
      <w:proofErr w:type="spellStart"/>
      <w:r w:rsidRPr="00FF4016">
        <w:rPr>
          <w:i/>
        </w:rPr>
        <w:t>Mannheimia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haemolytica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Pasteurella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multocida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Histophilus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somni</w:t>
      </w:r>
      <w:proofErr w:type="spellEnd"/>
      <w:r w:rsidRPr="00FF4016">
        <w:rPr>
          <w:i/>
        </w:rPr>
        <w:t xml:space="preserve"> </w:t>
      </w:r>
      <w:r w:rsidRPr="00FF4016">
        <w:t xml:space="preserve">a </w:t>
      </w:r>
      <w:proofErr w:type="spellStart"/>
      <w:r w:rsidRPr="00FF4016">
        <w:rPr>
          <w:i/>
        </w:rPr>
        <w:t>Mycoplasma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bovis</w:t>
      </w:r>
      <w:proofErr w:type="spellEnd"/>
      <w:r w:rsidRPr="00FF4016">
        <w:rPr>
          <w:i/>
        </w:rPr>
        <w:t xml:space="preserve"> </w:t>
      </w:r>
      <w:r w:rsidRPr="00FF4016">
        <w:t xml:space="preserve">citlivými </w:t>
      </w:r>
      <w:r w:rsidR="00F16D59" w:rsidRPr="00FF4016">
        <w:t>k</w:t>
      </w:r>
      <w:r w:rsidRPr="00FF4016">
        <w:t> </w:t>
      </w:r>
      <w:proofErr w:type="spellStart"/>
      <w:r w:rsidRPr="00FF4016">
        <w:t>tulathromycin</w:t>
      </w:r>
      <w:r w:rsidR="00F16D59" w:rsidRPr="00FF4016">
        <w:t>u</w:t>
      </w:r>
      <w:proofErr w:type="spellEnd"/>
      <w:r w:rsidRPr="00FF4016">
        <w:t>.</w:t>
      </w:r>
      <w:bookmarkStart w:id="0" w:name="_Hlk62458640"/>
      <w:r w:rsidRPr="00FF4016">
        <w:t xml:space="preserve"> </w:t>
      </w:r>
      <w:r w:rsidR="00F16D59" w:rsidRPr="00FF4016">
        <w:t>P</w:t>
      </w:r>
      <w:r w:rsidRPr="00FF4016">
        <w:t>řed použitím veterinárního léčivého přípravku</w:t>
      </w:r>
      <w:r w:rsidR="00F16D59" w:rsidRPr="00FF4016">
        <w:t xml:space="preserve"> musí být ve skupině stanovena přítomnost onemocnění.</w:t>
      </w:r>
    </w:p>
    <w:p w14:paraId="65C36F52" w14:textId="77777777" w:rsidR="009A1A5E" w:rsidRPr="00FF4016" w:rsidRDefault="009A1A5E" w:rsidP="00D34925">
      <w:pPr>
        <w:spacing w:line="240" w:lineRule="auto"/>
      </w:pPr>
    </w:p>
    <w:bookmarkEnd w:id="0"/>
    <w:p w14:paraId="15927C2D" w14:textId="20B7538D" w:rsidR="009A1A5E" w:rsidRPr="00FF4016" w:rsidRDefault="00D34925" w:rsidP="00D34925">
      <w:pPr>
        <w:spacing w:line="240" w:lineRule="auto"/>
      </w:pPr>
      <w:r w:rsidRPr="00FF4016">
        <w:t xml:space="preserve">Léčba infekční bovinní keratokonjunktivitidy (IBK) spojené s </w:t>
      </w:r>
      <w:proofErr w:type="spellStart"/>
      <w:r w:rsidRPr="00FF4016">
        <w:rPr>
          <w:i/>
        </w:rPr>
        <w:t>Moraxella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bovis</w:t>
      </w:r>
      <w:proofErr w:type="spellEnd"/>
      <w:r w:rsidRPr="00FF4016">
        <w:t xml:space="preserve"> citlivými </w:t>
      </w:r>
      <w:r w:rsidR="00F16D59" w:rsidRPr="00FF4016">
        <w:t>k</w:t>
      </w:r>
      <w:r w:rsidRPr="00FF4016">
        <w:t> </w:t>
      </w:r>
      <w:proofErr w:type="spellStart"/>
      <w:r w:rsidRPr="00FF4016">
        <w:t>tulathromycin</w:t>
      </w:r>
      <w:r w:rsidR="00F16D59" w:rsidRPr="00FF4016">
        <w:t>u</w:t>
      </w:r>
      <w:proofErr w:type="spellEnd"/>
      <w:r w:rsidRPr="00FF4016">
        <w:t>.</w:t>
      </w:r>
    </w:p>
    <w:p w14:paraId="2FB28697" w14:textId="77777777" w:rsidR="009A1A5E" w:rsidRPr="00FF4016" w:rsidRDefault="009A1A5E" w:rsidP="00D34925">
      <w:pPr>
        <w:pStyle w:val="Zkladntext"/>
        <w:jc w:val="left"/>
      </w:pPr>
    </w:p>
    <w:p w14:paraId="6EE22A31" w14:textId="77777777" w:rsidR="009A1A5E" w:rsidRPr="00FF4016" w:rsidRDefault="00D34925" w:rsidP="00D34925">
      <w:pPr>
        <w:pStyle w:val="Zkladntext"/>
        <w:jc w:val="left"/>
      </w:pPr>
      <w:r w:rsidRPr="00FF4016">
        <w:rPr>
          <w:u w:val="single"/>
        </w:rPr>
        <w:t>Prasata</w:t>
      </w:r>
    </w:p>
    <w:p w14:paraId="757983BF" w14:textId="7639D8FB" w:rsidR="009A1A5E" w:rsidRPr="00FF4016" w:rsidRDefault="00D34925" w:rsidP="00D34925">
      <w:pPr>
        <w:spacing w:line="240" w:lineRule="auto"/>
      </w:pPr>
      <w:r w:rsidRPr="00FF4016">
        <w:t xml:space="preserve">Léčba a </w:t>
      </w:r>
      <w:proofErr w:type="spellStart"/>
      <w:r w:rsidRPr="00FF4016">
        <w:t>metafylaxe</w:t>
      </w:r>
      <w:proofErr w:type="spellEnd"/>
      <w:r w:rsidRPr="00FF4016">
        <w:t xml:space="preserve"> respiračního onemocnění prasat (SRD) spojeného s </w:t>
      </w:r>
      <w:proofErr w:type="spellStart"/>
      <w:r w:rsidRPr="00FF4016">
        <w:rPr>
          <w:i/>
        </w:rPr>
        <w:t>Actinobacillus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pleuropneumoniae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Pasteurella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multocida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Mycoplasma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hyopneumoniae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Haemophilus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parasuis</w:t>
      </w:r>
      <w:proofErr w:type="spellEnd"/>
      <w:r w:rsidRPr="00FF4016">
        <w:rPr>
          <w:i/>
        </w:rPr>
        <w:t xml:space="preserve"> </w:t>
      </w:r>
      <w:r w:rsidRPr="00FF4016">
        <w:t>a </w:t>
      </w:r>
      <w:proofErr w:type="spellStart"/>
      <w:r w:rsidRPr="00FF4016">
        <w:rPr>
          <w:i/>
        </w:rPr>
        <w:t>Bordetella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bronchiseptica</w:t>
      </w:r>
      <w:proofErr w:type="spellEnd"/>
      <w:r w:rsidRPr="00FF4016">
        <w:rPr>
          <w:i/>
        </w:rPr>
        <w:t xml:space="preserve"> </w:t>
      </w:r>
      <w:r w:rsidRPr="00FF4016">
        <w:t xml:space="preserve">citlivými na </w:t>
      </w:r>
      <w:proofErr w:type="spellStart"/>
      <w:r w:rsidRPr="00FF4016">
        <w:t>tulathromycin</w:t>
      </w:r>
      <w:proofErr w:type="spellEnd"/>
      <w:r w:rsidRPr="00FF4016">
        <w:t xml:space="preserve">. </w:t>
      </w:r>
      <w:r w:rsidR="00F16D59" w:rsidRPr="00FF4016">
        <w:t xml:space="preserve">Před použitím veterinárního léčivého přípravku musí být ve skupině stanovena přítomnost onemocnění. </w:t>
      </w:r>
      <w:r w:rsidRPr="00FF4016">
        <w:t>Tento veterinární léčivý přípravek by se měl použít pouze v případě, když se u prasat očekává propuknutí onemocnění během 2–3 dnů.</w:t>
      </w:r>
    </w:p>
    <w:p w14:paraId="51C03098" w14:textId="77777777" w:rsidR="009A1A5E" w:rsidRPr="00FF4016" w:rsidRDefault="009A1A5E" w:rsidP="00D34925">
      <w:pPr>
        <w:pStyle w:val="Zkladntext"/>
        <w:jc w:val="left"/>
      </w:pPr>
    </w:p>
    <w:p w14:paraId="55151AF3" w14:textId="77777777" w:rsidR="009A1A5E" w:rsidRPr="00FF4016" w:rsidRDefault="00D34925" w:rsidP="00D34925">
      <w:pPr>
        <w:pStyle w:val="Zkladntext"/>
        <w:jc w:val="left"/>
      </w:pPr>
      <w:r w:rsidRPr="00FF4016">
        <w:rPr>
          <w:u w:val="single"/>
        </w:rPr>
        <w:t>Ovce</w:t>
      </w:r>
    </w:p>
    <w:p w14:paraId="25B7AD0D" w14:textId="77777777" w:rsidR="009A1A5E" w:rsidRPr="00FF4016" w:rsidRDefault="00D34925" w:rsidP="00D34925">
      <w:pPr>
        <w:pStyle w:val="Zkladntext"/>
        <w:jc w:val="left"/>
      </w:pPr>
      <w:r w:rsidRPr="00FF4016">
        <w:t xml:space="preserve">Léčba počáteční fáze infekční </w:t>
      </w:r>
      <w:proofErr w:type="spellStart"/>
      <w:r w:rsidRPr="00FF4016">
        <w:t>pododermatitidy</w:t>
      </w:r>
      <w:proofErr w:type="spellEnd"/>
      <w:r w:rsidRPr="00FF4016">
        <w:t xml:space="preserve"> (</w:t>
      </w:r>
      <w:proofErr w:type="spellStart"/>
      <w:r w:rsidRPr="00FF4016">
        <w:t>nekrobacilóza</w:t>
      </w:r>
      <w:proofErr w:type="spellEnd"/>
      <w:r w:rsidRPr="00FF4016">
        <w:t xml:space="preserve"> prstů) spojené s virulentním</w:t>
      </w:r>
    </w:p>
    <w:p w14:paraId="12769E39" w14:textId="77777777" w:rsidR="009A1A5E" w:rsidRPr="00FF4016" w:rsidRDefault="00D34925" w:rsidP="00D34925">
      <w:pPr>
        <w:spacing w:line="240" w:lineRule="auto"/>
      </w:pPr>
      <w:proofErr w:type="spellStart"/>
      <w:r w:rsidRPr="00FF4016">
        <w:rPr>
          <w:i/>
        </w:rPr>
        <w:t>Dichelobacter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nodosus</w:t>
      </w:r>
      <w:proofErr w:type="spellEnd"/>
      <w:r w:rsidRPr="00FF4016">
        <w:rPr>
          <w:i/>
        </w:rPr>
        <w:t xml:space="preserve"> </w:t>
      </w:r>
      <w:r w:rsidRPr="00FF4016">
        <w:t>vyžadující systémovou léčbu.</w:t>
      </w:r>
    </w:p>
    <w:p w14:paraId="6BA0A3A8" w14:textId="77777777" w:rsidR="009A1A5E" w:rsidRPr="00FF4016" w:rsidRDefault="009A1A5E" w:rsidP="00D34925">
      <w:pPr>
        <w:pStyle w:val="Zkladntext"/>
        <w:jc w:val="left"/>
      </w:pPr>
    </w:p>
    <w:p w14:paraId="0CB351A8" w14:textId="77777777" w:rsidR="009A1A5E" w:rsidRPr="00FF4016" w:rsidRDefault="00D34925" w:rsidP="00D34925">
      <w:pPr>
        <w:pStyle w:val="Style1"/>
        <w:keepNext/>
      </w:pPr>
      <w:r w:rsidRPr="00FF4016">
        <w:lastRenderedPageBreak/>
        <w:t>3.3</w:t>
      </w:r>
      <w:r w:rsidRPr="00FF4016">
        <w:tab/>
        <w:t>Kontraindikace</w:t>
      </w:r>
    </w:p>
    <w:p w14:paraId="5650439E" w14:textId="77777777" w:rsidR="009A1A5E" w:rsidRPr="00FF4016" w:rsidRDefault="009A1A5E" w:rsidP="00D349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3ED6F8" w14:textId="3153A23B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 xml:space="preserve">Nepoužívat v případech přecitlivělosti </w:t>
      </w:r>
      <w:r w:rsidR="00410BED" w:rsidRPr="00FF4016">
        <w:t>na</w:t>
      </w:r>
      <w:r w:rsidRPr="00FF4016">
        <w:t xml:space="preserve"> </w:t>
      </w:r>
      <w:proofErr w:type="spellStart"/>
      <w:r w:rsidRPr="00FF4016">
        <w:t>makrolidov</w:t>
      </w:r>
      <w:r w:rsidR="00410BED" w:rsidRPr="00FF4016">
        <w:t>á</w:t>
      </w:r>
      <w:proofErr w:type="spellEnd"/>
      <w:r w:rsidRPr="00FF4016">
        <w:t xml:space="preserve"> antibiotik</w:t>
      </w:r>
      <w:r w:rsidR="00410BED" w:rsidRPr="00FF4016">
        <w:t>a</w:t>
      </w:r>
      <w:r w:rsidRPr="00FF4016">
        <w:t xml:space="preserve"> nebo na některou z pomocných látek.</w:t>
      </w:r>
    </w:p>
    <w:p w14:paraId="65C9C860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918F461" w14:textId="77777777" w:rsidR="009A1A5E" w:rsidRPr="00FF4016" w:rsidRDefault="00D34925" w:rsidP="00D34925">
      <w:pPr>
        <w:pStyle w:val="Style1"/>
      </w:pPr>
      <w:r w:rsidRPr="00FF4016">
        <w:t>3.4</w:t>
      </w:r>
      <w:r w:rsidRPr="00FF4016">
        <w:tab/>
        <w:t>Zvláštní upozornění</w:t>
      </w:r>
    </w:p>
    <w:p w14:paraId="1D63D720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A40AEB5" w14:textId="70837F22" w:rsidR="009A1A5E" w:rsidRPr="00FF4016" w:rsidRDefault="00D34925" w:rsidP="00D34925">
      <w:pPr>
        <w:tabs>
          <w:tab w:val="clear" w:pos="567"/>
        </w:tabs>
        <w:spacing w:line="240" w:lineRule="auto"/>
      </w:pPr>
      <w:r w:rsidRPr="00FF4016">
        <w:t xml:space="preserve">Vyskytuje se zkřížená rezistence s jinými </w:t>
      </w:r>
      <w:proofErr w:type="spellStart"/>
      <w:r w:rsidRPr="00FF4016">
        <w:t>makrolidy</w:t>
      </w:r>
      <w:proofErr w:type="spellEnd"/>
      <w:r w:rsidRPr="00FF4016">
        <w:t xml:space="preserve">. Nepodávat současně s </w:t>
      </w:r>
      <w:proofErr w:type="spellStart"/>
      <w:r w:rsidRPr="00FF4016">
        <w:t>antimikrobiky</w:t>
      </w:r>
      <w:proofErr w:type="spellEnd"/>
      <w:r w:rsidRPr="00FF4016">
        <w:t xml:space="preserve"> s podobným mechanizmem účinku, jako jsou ostatní </w:t>
      </w:r>
      <w:proofErr w:type="spellStart"/>
      <w:r w:rsidRPr="00FF4016">
        <w:t>makrolidy</w:t>
      </w:r>
      <w:proofErr w:type="spellEnd"/>
      <w:r w:rsidRPr="00FF4016">
        <w:t xml:space="preserve"> anebo </w:t>
      </w:r>
      <w:proofErr w:type="spellStart"/>
      <w:r w:rsidRPr="00FF4016">
        <w:t>linkosamidy</w:t>
      </w:r>
      <w:proofErr w:type="spellEnd"/>
      <w:r w:rsidRPr="00FF4016">
        <w:t>.</w:t>
      </w:r>
    </w:p>
    <w:p w14:paraId="3E7B258E" w14:textId="77777777" w:rsidR="009A1A5E" w:rsidRPr="00FF4016" w:rsidRDefault="009A1A5E" w:rsidP="00D34925">
      <w:pPr>
        <w:pStyle w:val="Zkladntext"/>
        <w:jc w:val="left"/>
        <w:rPr>
          <w:bCs/>
          <w:sz w:val="21"/>
        </w:rPr>
      </w:pPr>
    </w:p>
    <w:p w14:paraId="155C7D39" w14:textId="77777777" w:rsidR="009A1A5E" w:rsidRPr="00FF4016" w:rsidRDefault="00D34925" w:rsidP="00D34925">
      <w:pPr>
        <w:pStyle w:val="Zkladntext"/>
        <w:jc w:val="left"/>
        <w:rPr>
          <w:bCs/>
          <w:u w:val="single"/>
        </w:rPr>
      </w:pPr>
      <w:r w:rsidRPr="00FF4016">
        <w:rPr>
          <w:bCs/>
          <w:u w:val="single"/>
        </w:rPr>
        <w:t>Ovce</w:t>
      </w:r>
    </w:p>
    <w:p w14:paraId="183CB5DF" w14:textId="77777777" w:rsidR="009A1A5E" w:rsidRPr="00FF4016" w:rsidRDefault="009A1A5E" w:rsidP="00D34925">
      <w:pPr>
        <w:pStyle w:val="Zkladntext"/>
        <w:jc w:val="left"/>
        <w:rPr>
          <w:bCs/>
        </w:rPr>
      </w:pPr>
    </w:p>
    <w:p w14:paraId="6C19EE65" w14:textId="7FB1230C" w:rsidR="009A1A5E" w:rsidRPr="00FF4016" w:rsidRDefault="00D34925" w:rsidP="00D34925">
      <w:pPr>
        <w:pStyle w:val="Zkladntext"/>
        <w:jc w:val="left"/>
      </w:pPr>
      <w:r w:rsidRPr="00FF4016">
        <w:t xml:space="preserve">Účinnost antimikrobní léčby </w:t>
      </w:r>
      <w:proofErr w:type="spellStart"/>
      <w:r w:rsidRPr="00FF4016">
        <w:t>nekrobacilózy</w:t>
      </w:r>
      <w:proofErr w:type="spellEnd"/>
      <w:r w:rsidRPr="00FF4016">
        <w:t xml:space="preserve"> prstů může být snížena různými faktory, jako je vlhké prostředí nebo také nesprávná zoohygiena chovu. Proto by léčba </w:t>
      </w:r>
      <w:proofErr w:type="spellStart"/>
      <w:r w:rsidRPr="00FF4016">
        <w:t>nekrobacilózy</w:t>
      </w:r>
      <w:proofErr w:type="spellEnd"/>
      <w:r w:rsidRPr="00FF4016">
        <w:t xml:space="preserve"> měla být spojena s dalšími opatřeními, např. zajištěním suchého prostředí.</w:t>
      </w:r>
    </w:p>
    <w:p w14:paraId="39DB9659" w14:textId="77777777" w:rsidR="009A1A5E" w:rsidRPr="00FF4016" w:rsidRDefault="009A1A5E" w:rsidP="00D34925">
      <w:pPr>
        <w:pStyle w:val="Zkladntext"/>
        <w:jc w:val="left"/>
      </w:pPr>
    </w:p>
    <w:p w14:paraId="38239F56" w14:textId="5D7623F9" w:rsidR="009A1A5E" w:rsidRPr="00FF4016" w:rsidRDefault="00D34925" w:rsidP="00D34925">
      <w:pPr>
        <w:pStyle w:val="Zkladntext"/>
        <w:jc w:val="left"/>
      </w:pPr>
      <w:r w:rsidRPr="00FF4016">
        <w:t xml:space="preserve">Antibiotická léčba benigní </w:t>
      </w:r>
      <w:proofErr w:type="spellStart"/>
      <w:r w:rsidRPr="00FF4016">
        <w:t>nekrobacilózy</w:t>
      </w:r>
      <w:proofErr w:type="spellEnd"/>
      <w:r w:rsidRPr="00FF4016">
        <w:t xml:space="preserve"> prstů se nepovažuje za vhodnou. </w:t>
      </w:r>
      <w:proofErr w:type="spellStart"/>
      <w:r w:rsidRPr="00FF4016">
        <w:t>Tulathromycin</w:t>
      </w:r>
      <w:proofErr w:type="spellEnd"/>
      <w:r w:rsidRPr="00FF4016">
        <w:t xml:space="preserve"> vykazoval omezenou účinnost u ovcí s vážnými klinickými příznaky nebo chronickou </w:t>
      </w:r>
      <w:proofErr w:type="spellStart"/>
      <w:r w:rsidRPr="00FF4016">
        <w:t>nekrobacilózou</w:t>
      </w:r>
      <w:proofErr w:type="spellEnd"/>
      <w:r w:rsidRPr="00FF4016">
        <w:t xml:space="preserve"> prstů</w:t>
      </w:r>
      <w:r w:rsidR="00410BED" w:rsidRPr="00FF4016">
        <w:t>,</w:t>
      </w:r>
      <w:r w:rsidRPr="00FF4016">
        <w:t xml:space="preserve"> a proto by měl být podáván pouze v počáteční fázi </w:t>
      </w:r>
      <w:proofErr w:type="spellStart"/>
      <w:r w:rsidRPr="00FF4016">
        <w:t>nekrobacilózy</w:t>
      </w:r>
      <w:proofErr w:type="spellEnd"/>
      <w:r w:rsidRPr="00FF4016">
        <w:t>.</w:t>
      </w:r>
    </w:p>
    <w:p w14:paraId="49A4794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5CCE312" w14:textId="77777777" w:rsidR="009A1A5E" w:rsidRPr="00FF4016" w:rsidRDefault="00D34925" w:rsidP="00D34925">
      <w:pPr>
        <w:pStyle w:val="Style1"/>
      </w:pPr>
      <w:r w:rsidRPr="00FF4016">
        <w:t>3.5</w:t>
      </w:r>
      <w:r w:rsidRPr="00FF4016">
        <w:tab/>
        <w:t>Zvláštní opatření pro použití</w:t>
      </w:r>
    </w:p>
    <w:p w14:paraId="602FFA4F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BA2A18F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4016">
        <w:rPr>
          <w:szCs w:val="22"/>
          <w:u w:val="single"/>
        </w:rPr>
        <w:t>Zvláštní opatření pro bezpečné použití u cílových druhů zvířat:</w:t>
      </w:r>
    </w:p>
    <w:p w14:paraId="191CC444" w14:textId="77777777" w:rsidR="009A1A5E" w:rsidRPr="00FF4016" w:rsidRDefault="009A1A5E" w:rsidP="00D34925">
      <w:pPr>
        <w:pStyle w:val="Zkladntext"/>
        <w:jc w:val="left"/>
      </w:pPr>
    </w:p>
    <w:p w14:paraId="7FA22BF5" w14:textId="0C6A9DFA" w:rsidR="009A1A5E" w:rsidRPr="00FF4016" w:rsidRDefault="00D34925" w:rsidP="00D34925">
      <w:pPr>
        <w:pStyle w:val="Zkladntext"/>
        <w:jc w:val="left"/>
      </w:pPr>
      <w:r w:rsidRPr="00FF4016">
        <w:t xml:space="preserve">Použití veterinárního léčivého přípravku by mělo být založeno na výsledku </w:t>
      </w:r>
      <w:r w:rsidR="00410BED" w:rsidRPr="00FF4016">
        <w:t>stanovení</w:t>
      </w:r>
      <w:r w:rsidRPr="00FF4016">
        <w:t xml:space="preserve"> citlivosti </w:t>
      </w:r>
      <w:r w:rsidR="00410BED" w:rsidRPr="00FF4016">
        <w:t>cílového patogenu/cílových patogenů</w:t>
      </w:r>
      <w:r w:rsidRPr="00FF4016">
        <w:t xml:space="preserve"> izolovaných ze zvířete. Pokud toto není možné, měla by být léčba založena na místní (na úrovni regionu, farmy) </w:t>
      </w:r>
      <w:proofErr w:type="spellStart"/>
      <w:r w:rsidRPr="00FF4016">
        <w:t>epizootologické</w:t>
      </w:r>
      <w:proofErr w:type="spellEnd"/>
      <w:r w:rsidRPr="00FF4016">
        <w:t xml:space="preserve"> informaci o citlivosti cílov</w:t>
      </w:r>
      <w:r w:rsidR="00410BED" w:rsidRPr="00FF4016">
        <w:t>ých</w:t>
      </w:r>
      <w:r w:rsidRPr="00FF4016">
        <w:t xml:space="preserve"> </w:t>
      </w:r>
      <w:r w:rsidR="00410BED" w:rsidRPr="00FF4016">
        <w:t>patogenů</w:t>
      </w:r>
      <w:r w:rsidRPr="00FF4016">
        <w:t>.</w:t>
      </w:r>
    </w:p>
    <w:p w14:paraId="0B7D4C3F" w14:textId="77777777" w:rsidR="009A1A5E" w:rsidRPr="00FF4016" w:rsidRDefault="009A1A5E" w:rsidP="00D34925">
      <w:pPr>
        <w:pStyle w:val="Zkladntext"/>
        <w:jc w:val="left"/>
      </w:pPr>
    </w:p>
    <w:p w14:paraId="60E2B246" w14:textId="13220272" w:rsidR="009A1A5E" w:rsidRPr="00FF4016" w:rsidRDefault="00D34925" w:rsidP="00D34925">
      <w:pPr>
        <w:pStyle w:val="Zkladntext"/>
        <w:jc w:val="left"/>
      </w:pPr>
      <w:r w:rsidRPr="00FF4016">
        <w:t xml:space="preserve">Při použití veterinárního léčivého přípravku je nutno vzít v úvahu oficiální, celostátní a místní pravidla antibiotické politiky. Použití </w:t>
      </w:r>
      <w:r w:rsidR="00410BED" w:rsidRPr="00FF4016">
        <w:t xml:space="preserve">veterinárního léčivého </w:t>
      </w:r>
      <w:r w:rsidRPr="00FF4016">
        <w:t xml:space="preserve">přípravku, které je odlišné od pokynů uvedených v souhrnu údajů o přípravku (SPC), může zvýšit prevalenci bakterií rezistentních na </w:t>
      </w:r>
      <w:proofErr w:type="spellStart"/>
      <w:r w:rsidRPr="00FF4016">
        <w:t>tulathromycin</w:t>
      </w:r>
      <w:proofErr w:type="spellEnd"/>
      <w:r w:rsidRPr="00FF4016">
        <w:t xml:space="preserve"> a může snížit účinnost léčby jinými </w:t>
      </w:r>
      <w:proofErr w:type="spellStart"/>
      <w:r w:rsidRPr="00FF4016">
        <w:t>makrolidy</w:t>
      </w:r>
      <w:proofErr w:type="spellEnd"/>
      <w:r w:rsidRPr="00FF4016">
        <w:t xml:space="preserve">, </w:t>
      </w:r>
      <w:proofErr w:type="spellStart"/>
      <w:r w:rsidRPr="00FF4016">
        <w:t>linkosamidy</w:t>
      </w:r>
      <w:proofErr w:type="spellEnd"/>
      <w:r w:rsidRPr="00FF4016">
        <w:t xml:space="preserve"> a </w:t>
      </w:r>
      <w:proofErr w:type="spellStart"/>
      <w:r w:rsidRPr="00FF4016">
        <w:t>streptograminy</w:t>
      </w:r>
      <w:proofErr w:type="spellEnd"/>
      <w:r w:rsidRPr="00FF4016">
        <w:t xml:space="preserve"> skupiny B z důvodu možné zkřížené rezistence. </w:t>
      </w:r>
    </w:p>
    <w:p w14:paraId="73DE19C4" w14:textId="77777777" w:rsidR="009A1A5E" w:rsidRPr="00FF4016" w:rsidRDefault="00D34925" w:rsidP="00D34925">
      <w:pPr>
        <w:pStyle w:val="Zkladntext"/>
        <w:jc w:val="left"/>
      </w:pPr>
      <w:r w:rsidRPr="00FF4016">
        <w:t xml:space="preserve"> </w:t>
      </w:r>
    </w:p>
    <w:p w14:paraId="2A8F7B73" w14:textId="5BF596BD" w:rsidR="009A1A5E" w:rsidRPr="00FF4016" w:rsidRDefault="00D34925" w:rsidP="00D34925">
      <w:pPr>
        <w:pStyle w:val="Zkladntext"/>
        <w:jc w:val="left"/>
      </w:pPr>
      <w:r w:rsidRPr="00FF4016">
        <w:t xml:space="preserve">Pokud dojde k reakci přecitlivělosti, měla by být </w:t>
      </w:r>
      <w:r w:rsidR="00410BED" w:rsidRPr="00FF4016">
        <w:t xml:space="preserve">bezodkladně </w:t>
      </w:r>
      <w:r w:rsidRPr="00FF4016">
        <w:t>podána odpovídající léčba.</w:t>
      </w:r>
    </w:p>
    <w:p w14:paraId="5D7FBF5F" w14:textId="77777777" w:rsidR="009A1A5E" w:rsidRPr="00FF4016" w:rsidRDefault="009A1A5E" w:rsidP="00D34925">
      <w:pPr>
        <w:pStyle w:val="Zkladntext"/>
        <w:jc w:val="left"/>
      </w:pPr>
    </w:p>
    <w:p w14:paraId="08DD7C20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4016">
        <w:rPr>
          <w:szCs w:val="22"/>
          <w:u w:val="single"/>
        </w:rPr>
        <w:t>Zvláštní opatření pro osobu, která podává veterinární léčivý přípravek zvířatům:</w:t>
      </w:r>
    </w:p>
    <w:p w14:paraId="33EF9E95" w14:textId="77777777" w:rsidR="009A1A5E" w:rsidRPr="00FF4016" w:rsidRDefault="009A1A5E" w:rsidP="00D34925">
      <w:pPr>
        <w:pStyle w:val="Zkladntext"/>
        <w:jc w:val="left"/>
        <w:rPr>
          <w:u w:val="single"/>
        </w:rPr>
      </w:pPr>
    </w:p>
    <w:p w14:paraId="3676B7D4" w14:textId="0D2D2281" w:rsidR="009A1A5E" w:rsidRPr="00FF4016" w:rsidRDefault="00D34925" w:rsidP="00D34925">
      <w:pPr>
        <w:spacing w:line="240" w:lineRule="auto"/>
      </w:pPr>
      <w:proofErr w:type="spellStart"/>
      <w:r w:rsidRPr="00FF4016">
        <w:t>Tulathromycin</w:t>
      </w:r>
      <w:proofErr w:type="spellEnd"/>
      <w:r w:rsidRPr="00FF4016">
        <w:t xml:space="preserve"> dráždí oči. V případě náhodného kontaktu s</w:t>
      </w:r>
      <w:r w:rsidR="006E0A02" w:rsidRPr="00FF4016">
        <w:t> </w:t>
      </w:r>
      <w:r w:rsidRPr="00FF4016">
        <w:t>očima</w:t>
      </w:r>
      <w:r w:rsidR="006E0A02" w:rsidRPr="00FF4016">
        <w:t xml:space="preserve"> </w:t>
      </w:r>
      <w:r w:rsidRPr="00FF4016">
        <w:t xml:space="preserve">je </w:t>
      </w:r>
      <w:r w:rsidR="00380139" w:rsidRPr="00FF4016">
        <w:t xml:space="preserve">ihned </w:t>
      </w:r>
      <w:r w:rsidRPr="00FF4016">
        <w:t>vypláchn</w:t>
      </w:r>
      <w:r w:rsidR="00380139" w:rsidRPr="00FF4016">
        <w:t>ěte</w:t>
      </w:r>
      <w:r w:rsidRPr="00FF4016">
        <w:t xml:space="preserve"> čistou vodou.</w:t>
      </w:r>
    </w:p>
    <w:p w14:paraId="037710DE" w14:textId="77777777" w:rsidR="009A1A5E" w:rsidRPr="00FF4016" w:rsidRDefault="009A1A5E" w:rsidP="00D34925">
      <w:pPr>
        <w:pStyle w:val="Zkladntext"/>
        <w:jc w:val="left"/>
      </w:pPr>
    </w:p>
    <w:p w14:paraId="09CEC7C1" w14:textId="69CA556C" w:rsidR="009A1A5E" w:rsidRPr="00FF4016" w:rsidRDefault="00D34925" w:rsidP="00D34925">
      <w:pPr>
        <w:pStyle w:val="Zkladntext"/>
        <w:jc w:val="left"/>
      </w:pPr>
      <w:proofErr w:type="spellStart"/>
      <w:r w:rsidRPr="00FF4016">
        <w:t>Tulathromycin</w:t>
      </w:r>
      <w:proofErr w:type="spellEnd"/>
      <w:r w:rsidRPr="00FF4016">
        <w:t xml:space="preserve"> může způsobit senzibilizaci při kontaktu s pokožkou. V případě náhodného kontaktu s</w:t>
      </w:r>
      <w:r w:rsidR="00380139" w:rsidRPr="00FF4016">
        <w:t> </w:t>
      </w:r>
      <w:r w:rsidRPr="00FF4016">
        <w:t>pokožkou</w:t>
      </w:r>
      <w:r w:rsidR="00380139" w:rsidRPr="00FF4016">
        <w:t xml:space="preserve"> </w:t>
      </w:r>
      <w:r w:rsidRPr="00FF4016">
        <w:t>j</w:t>
      </w:r>
      <w:r w:rsidR="00380139" w:rsidRPr="00FF4016">
        <w:t xml:space="preserve">i ihned </w:t>
      </w:r>
      <w:r w:rsidRPr="00FF4016">
        <w:t>um</w:t>
      </w:r>
      <w:r w:rsidR="00380139" w:rsidRPr="00FF4016">
        <w:t>yjte</w:t>
      </w:r>
      <w:r w:rsidRPr="00FF4016">
        <w:t xml:space="preserve"> mýdlem a vodou.</w:t>
      </w:r>
    </w:p>
    <w:p w14:paraId="5CD1E5F1" w14:textId="77777777" w:rsidR="009A1A5E" w:rsidRPr="00FF4016" w:rsidRDefault="009A1A5E" w:rsidP="00D34925">
      <w:pPr>
        <w:pStyle w:val="Zkladntext"/>
        <w:jc w:val="left"/>
      </w:pPr>
    </w:p>
    <w:p w14:paraId="7B6F3C8B" w14:textId="77777777" w:rsidR="009A1A5E" w:rsidRPr="00FF4016" w:rsidRDefault="00D34925" w:rsidP="00D34925">
      <w:pPr>
        <w:pStyle w:val="Zkladntext"/>
        <w:jc w:val="left"/>
      </w:pPr>
      <w:r w:rsidRPr="00FF4016">
        <w:t>Po použití si umyjte ruce.</w:t>
      </w:r>
    </w:p>
    <w:p w14:paraId="75729335" w14:textId="77777777" w:rsidR="009A1A5E" w:rsidRPr="00FF4016" w:rsidRDefault="009A1A5E" w:rsidP="00D34925">
      <w:pPr>
        <w:pStyle w:val="Zkladntext"/>
        <w:jc w:val="left"/>
      </w:pPr>
    </w:p>
    <w:p w14:paraId="47865C0D" w14:textId="02FF4B4A" w:rsidR="009A1A5E" w:rsidRPr="00FF4016" w:rsidRDefault="00380139" w:rsidP="00D34925">
      <w:pPr>
        <w:pStyle w:val="Zkladntext"/>
        <w:jc w:val="left"/>
      </w:pPr>
      <w:r w:rsidRPr="00FF4016">
        <w:t xml:space="preserve">Zabraňte </w:t>
      </w:r>
      <w:r w:rsidR="00444780" w:rsidRPr="00FF4016">
        <w:t xml:space="preserve">náhodnému </w:t>
      </w:r>
      <w:proofErr w:type="spellStart"/>
      <w:r w:rsidRPr="00FF4016">
        <w:t>samopodání</w:t>
      </w:r>
      <w:proofErr w:type="spellEnd"/>
      <w:r w:rsidR="00444780" w:rsidRPr="00FF4016">
        <w:t xml:space="preserve">. </w:t>
      </w:r>
      <w:r w:rsidR="00D34925" w:rsidRPr="00FF4016">
        <w:t xml:space="preserve">V případě náhodného sebepoškození injekčně </w:t>
      </w:r>
      <w:r w:rsidRPr="00FF4016">
        <w:t xml:space="preserve">podaným </w:t>
      </w:r>
      <w:r w:rsidR="00D34925" w:rsidRPr="00FF4016">
        <w:t>přípravkem vyhledejte ihned lékařskou pomoc a ukažte příbalovou informaci nebo etiketu praktickému lékaři.</w:t>
      </w:r>
    </w:p>
    <w:p w14:paraId="08864C0C" w14:textId="77777777" w:rsidR="009A1A5E" w:rsidRPr="00FF4016" w:rsidRDefault="009A1A5E" w:rsidP="00D34925">
      <w:pPr>
        <w:pStyle w:val="Zkladntext"/>
        <w:jc w:val="left"/>
      </w:pPr>
    </w:p>
    <w:p w14:paraId="23201C5D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4016">
        <w:rPr>
          <w:szCs w:val="22"/>
          <w:u w:val="single"/>
        </w:rPr>
        <w:t>Zvláštní opatření pro ochranu životního prostředí:</w:t>
      </w:r>
    </w:p>
    <w:p w14:paraId="21ECD18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52E4B23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>Neuplatňuje se.</w:t>
      </w:r>
    </w:p>
    <w:p w14:paraId="2C05283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CE405FE" w14:textId="77777777" w:rsidR="009A1A5E" w:rsidRPr="00FF4016" w:rsidRDefault="00D34925" w:rsidP="00D34925">
      <w:pPr>
        <w:pStyle w:val="Style1"/>
        <w:keepNext/>
      </w:pPr>
      <w:r w:rsidRPr="00FF4016">
        <w:lastRenderedPageBreak/>
        <w:t>3.6</w:t>
      </w:r>
      <w:r w:rsidRPr="00FF4016">
        <w:tab/>
        <w:t>Nežádoucí účinky</w:t>
      </w:r>
    </w:p>
    <w:p w14:paraId="32C6B678" w14:textId="77777777" w:rsidR="009A1A5E" w:rsidRPr="00FF4016" w:rsidRDefault="009A1A5E" w:rsidP="00D349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52E13B" w14:textId="77777777" w:rsidR="009A1A5E" w:rsidRPr="00FF4016" w:rsidRDefault="00D34925" w:rsidP="00D34925">
      <w:pPr>
        <w:keepNext/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bookmarkStart w:id="1" w:name="_Hlk142302807"/>
      <w:r w:rsidRPr="00FF4016">
        <w:rPr>
          <w:szCs w:val="22"/>
          <w:u w:val="single"/>
        </w:rPr>
        <w:t>Skot:</w:t>
      </w:r>
    </w:p>
    <w:p w14:paraId="62973A6C" w14:textId="77777777" w:rsidR="009A1A5E" w:rsidRPr="00FF4016" w:rsidRDefault="009A1A5E" w:rsidP="00D34925">
      <w:pPr>
        <w:keepNext/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2"/>
        <w:gridCol w:w="5604"/>
      </w:tblGrid>
      <w:tr w:rsidR="009A1A5E" w:rsidRPr="00FF4016" w14:paraId="52B246A7" w14:textId="77777777">
        <w:trPr>
          <w:trHeight w:val="39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1E98" w14:textId="77777777" w:rsidR="009A1A5E" w:rsidRPr="00FF4016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>Velmi časté (&gt; 1 zvíře / 10 ošetřených zvířat):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9380" w14:textId="31CCDD58" w:rsidR="009A1A5E" w:rsidRPr="00FF4016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 xml:space="preserve">Otok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1,4</w:t>
            </w:r>
            <w:r w:rsidRPr="00FF4016">
              <w:rPr>
                <w:szCs w:val="22"/>
              </w:rPr>
              <w:t xml:space="preserve">, fibróza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  <w:r w:rsidRPr="00FF4016">
              <w:rPr>
                <w:szCs w:val="22"/>
              </w:rPr>
              <w:t xml:space="preserve">, krvácení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  <w:r w:rsidRPr="00FF4016">
              <w:rPr>
                <w:szCs w:val="22"/>
              </w:rPr>
              <w:t xml:space="preserve">, </w:t>
            </w:r>
            <w:r w:rsidR="005D11F1" w:rsidRPr="00FF4016">
              <w:rPr>
                <w:szCs w:val="22"/>
              </w:rPr>
              <w:t>edém</w:t>
            </w:r>
            <w:r w:rsidRPr="00FF4016">
              <w:rPr>
                <w:szCs w:val="22"/>
              </w:rPr>
              <w:t xml:space="preserve">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  <w:r w:rsidRPr="00FF4016">
              <w:rPr>
                <w:szCs w:val="22"/>
              </w:rPr>
              <w:t xml:space="preserve">, reakce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1,2,3</w:t>
            </w:r>
            <w:r w:rsidRPr="00FF4016">
              <w:rPr>
                <w:szCs w:val="22"/>
              </w:rPr>
              <w:t xml:space="preserve">, bolest v místě </w:t>
            </w:r>
            <w:r w:rsidR="00E0401F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4</w:t>
            </w:r>
          </w:p>
        </w:tc>
      </w:tr>
    </w:tbl>
    <w:p w14:paraId="1C4D5481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1</w:t>
      </w:r>
      <w:r w:rsidRPr="00FF4016">
        <w:rPr>
          <w:szCs w:val="22"/>
        </w:rPr>
        <w:t xml:space="preserve"> Může přetrvávat přibližně 30 dní po injekci.</w:t>
      </w:r>
    </w:p>
    <w:p w14:paraId="5DAF988D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2</w:t>
      </w:r>
      <w:r w:rsidRPr="00FF4016">
        <w:rPr>
          <w:szCs w:val="22"/>
        </w:rPr>
        <w:t xml:space="preserve"> Reversibilní.</w:t>
      </w:r>
    </w:p>
    <w:p w14:paraId="347C4233" w14:textId="7B7E8D72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3</w:t>
      </w:r>
      <w:r w:rsidRPr="00FF4016">
        <w:rPr>
          <w:szCs w:val="22"/>
        </w:rPr>
        <w:t xml:space="preserve"> </w:t>
      </w:r>
      <w:r w:rsidR="0005571A" w:rsidRPr="00FF4016">
        <w:rPr>
          <w:szCs w:val="22"/>
        </w:rPr>
        <w:t>Pře</w:t>
      </w:r>
      <w:r w:rsidR="00AD665B" w:rsidRPr="00FF4016">
        <w:rPr>
          <w:szCs w:val="22"/>
        </w:rPr>
        <w:t>tížení</w:t>
      </w:r>
      <w:r w:rsidRPr="00FF4016">
        <w:rPr>
          <w:szCs w:val="22"/>
        </w:rPr>
        <w:t>.</w:t>
      </w:r>
    </w:p>
    <w:p w14:paraId="1E04645D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4</w:t>
      </w:r>
      <w:r w:rsidRPr="00FF4016">
        <w:rPr>
          <w:szCs w:val="22"/>
        </w:rPr>
        <w:t xml:space="preserve"> Přechodné.</w:t>
      </w:r>
    </w:p>
    <w:p w14:paraId="298B025A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54E603DF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bookmarkStart w:id="2" w:name="_Hlk142302624"/>
      <w:r w:rsidRPr="00FF4016">
        <w:rPr>
          <w:szCs w:val="22"/>
          <w:u w:val="single"/>
        </w:rPr>
        <w:t>Prasata:</w:t>
      </w:r>
    </w:p>
    <w:p w14:paraId="172F5F4D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5632"/>
      </w:tblGrid>
      <w:tr w:rsidR="009A1A5E" w:rsidRPr="00FF4016" w14:paraId="4E40C02F" w14:textId="77777777">
        <w:trPr>
          <w:trHeight w:val="565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C5EC" w14:textId="77777777" w:rsidR="009A1A5E" w:rsidRPr="00FF4016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>Velmi časté (&gt; 1 zvíře / 10 ošetřených zvířat):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A403" w14:textId="41142103" w:rsidR="009A1A5E" w:rsidRPr="00FF4016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 xml:space="preserve">Reakce v místě </w:t>
            </w:r>
            <w:r w:rsidR="0005571A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1,2,3</w:t>
            </w:r>
            <w:r w:rsidRPr="00FF4016">
              <w:rPr>
                <w:szCs w:val="22"/>
              </w:rPr>
              <w:t xml:space="preserve">, fibróza v místě </w:t>
            </w:r>
            <w:r w:rsidR="0005571A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  <w:r w:rsidRPr="00FF4016">
              <w:rPr>
                <w:szCs w:val="22"/>
              </w:rPr>
              <w:t xml:space="preserve">, krvácení v místě </w:t>
            </w:r>
            <w:r w:rsidR="0005571A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  <w:r w:rsidRPr="00FF4016">
              <w:rPr>
                <w:szCs w:val="22"/>
              </w:rPr>
              <w:t xml:space="preserve">, edém v místě </w:t>
            </w:r>
            <w:r w:rsidR="0005571A" w:rsidRPr="00FF4016">
              <w:rPr>
                <w:szCs w:val="22"/>
              </w:rPr>
              <w:t>injekčního podání</w:t>
            </w:r>
            <w:r w:rsidRPr="00FF4016">
              <w:rPr>
                <w:szCs w:val="22"/>
                <w:vertAlign w:val="superscript"/>
              </w:rPr>
              <w:t>1,2</w:t>
            </w:r>
          </w:p>
        </w:tc>
      </w:tr>
    </w:tbl>
    <w:p w14:paraId="2519B4A6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1</w:t>
      </w:r>
      <w:r w:rsidRPr="00FF4016">
        <w:rPr>
          <w:szCs w:val="22"/>
        </w:rPr>
        <w:t xml:space="preserve"> Může přetrvávat přibližně 30 dní po injekci.</w:t>
      </w:r>
    </w:p>
    <w:p w14:paraId="66341B85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2</w:t>
      </w:r>
      <w:r w:rsidRPr="00FF4016">
        <w:rPr>
          <w:szCs w:val="22"/>
        </w:rPr>
        <w:t xml:space="preserve"> Reversibilní</w:t>
      </w:r>
    </w:p>
    <w:p w14:paraId="7810A7A3" w14:textId="049D1080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F4016">
        <w:rPr>
          <w:szCs w:val="22"/>
          <w:vertAlign w:val="superscript"/>
        </w:rPr>
        <w:t>3</w:t>
      </w:r>
      <w:r w:rsidRPr="00FF4016">
        <w:rPr>
          <w:szCs w:val="22"/>
        </w:rPr>
        <w:t xml:space="preserve"> </w:t>
      </w:r>
      <w:r w:rsidR="0005571A" w:rsidRPr="00FF4016">
        <w:rPr>
          <w:szCs w:val="22"/>
        </w:rPr>
        <w:t>Pře</w:t>
      </w:r>
      <w:r w:rsidR="00AD665B" w:rsidRPr="00FF4016">
        <w:rPr>
          <w:szCs w:val="22"/>
        </w:rPr>
        <w:t>tížení</w:t>
      </w:r>
      <w:r w:rsidRPr="00FF4016">
        <w:rPr>
          <w:szCs w:val="22"/>
        </w:rPr>
        <w:t>.</w:t>
      </w:r>
    </w:p>
    <w:bookmarkEnd w:id="2"/>
    <w:p w14:paraId="31FC0EC1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2DCEC361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FF4016">
        <w:rPr>
          <w:szCs w:val="22"/>
          <w:u w:val="single"/>
        </w:rPr>
        <w:t>Ovce</w:t>
      </w:r>
      <w:r w:rsidRPr="00FF4016">
        <w:rPr>
          <w:szCs w:val="22"/>
        </w:rPr>
        <w:t>:</w:t>
      </w:r>
    </w:p>
    <w:p w14:paraId="702A1BBB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5632"/>
      </w:tblGrid>
      <w:tr w:rsidR="009A1A5E" w:rsidRPr="00FF4016" w14:paraId="1B23FBBE" w14:textId="77777777">
        <w:trPr>
          <w:trHeight w:val="39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B751" w14:textId="77777777" w:rsidR="009A1A5E" w:rsidRPr="00FF4016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>Velmi časté (&gt; 1 zvíře / 10 ošetřených zvířat):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364EF" w14:textId="4F41F771" w:rsidR="009A1A5E" w:rsidRPr="00FF4016" w:rsidRDefault="0005571A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FF4016">
              <w:rPr>
                <w:szCs w:val="22"/>
              </w:rPr>
              <w:t>Neklid</w:t>
            </w:r>
            <w:r w:rsidR="00D34925" w:rsidRPr="00FF4016">
              <w:rPr>
                <w:szCs w:val="22"/>
                <w:vertAlign w:val="superscript"/>
              </w:rPr>
              <w:t>1</w:t>
            </w:r>
          </w:p>
        </w:tc>
      </w:tr>
    </w:tbl>
    <w:p w14:paraId="4E7D7679" w14:textId="50787310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rPr>
          <w:szCs w:val="22"/>
          <w:vertAlign w:val="superscript"/>
        </w:rPr>
        <w:t>1</w:t>
      </w:r>
      <w:bookmarkEnd w:id="1"/>
      <w:r w:rsidRPr="00FF4016">
        <w:rPr>
          <w:szCs w:val="22"/>
        </w:rPr>
        <w:t xml:space="preserve"> Třesení hlavou, tření místa </w:t>
      </w:r>
      <w:r w:rsidR="0005571A" w:rsidRPr="00FF4016">
        <w:rPr>
          <w:szCs w:val="22"/>
        </w:rPr>
        <w:t>injekčního podání</w:t>
      </w:r>
      <w:r w:rsidRPr="00FF4016">
        <w:rPr>
          <w:szCs w:val="22"/>
        </w:rPr>
        <w:t>, couvání; tyto příznaky jsou přechodné a odezní během několika minut.</w:t>
      </w:r>
    </w:p>
    <w:p w14:paraId="36E34370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79EE825" w14:textId="77777777" w:rsidR="009A1A5E" w:rsidRPr="00FF4016" w:rsidRDefault="00D34925" w:rsidP="00D34925">
      <w:pPr>
        <w:spacing w:line="240" w:lineRule="auto"/>
      </w:pPr>
      <w:bookmarkStart w:id="3" w:name="_Hlk66891708"/>
      <w:r w:rsidRPr="00FF4016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 w:rsidRPr="00FF4016">
        <w:t>Podrobné kontaktní údaje naleznete</w:t>
      </w:r>
      <w:bookmarkEnd w:id="4"/>
      <w:r w:rsidRPr="00FF4016">
        <w:t xml:space="preserve"> v příbalové informaci.</w:t>
      </w:r>
    </w:p>
    <w:bookmarkEnd w:id="3"/>
    <w:p w14:paraId="363C9FB8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EC82C3C" w14:textId="77777777" w:rsidR="009A1A5E" w:rsidRPr="00FF4016" w:rsidRDefault="00D34925" w:rsidP="00D34925">
      <w:pPr>
        <w:pStyle w:val="Style1"/>
      </w:pPr>
      <w:r w:rsidRPr="00FF4016">
        <w:t>3.7</w:t>
      </w:r>
      <w:r w:rsidRPr="00FF4016">
        <w:tab/>
        <w:t>Použití v průběhu březosti, laktace nebo snášky</w:t>
      </w:r>
    </w:p>
    <w:p w14:paraId="7055E431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A20294F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4016">
        <w:rPr>
          <w:szCs w:val="22"/>
          <w:u w:val="single"/>
        </w:rPr>
        <w:t>Březost a laktace:</w:t>
      </w:r>
    </w:p>
    <w:p w14:paraId="2EDD78C4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016ED278" w14:textId="77777777" w:rsidR="009A1A5E" w:rsidRPr="00FF4016" w:rsidRDefault="00D34925" w:rsidP="00D34925">
      <w:pPr>
        <w:pStyle w:val="Zkladntext"/>
        <w:jc w:val="left"/>
      </w:pPr>
      <w:r w:rsidRPr="00FF4016">
        <w:t xml:space="preserve">Laboratorní studie na potkanech a králících nepodaly důkaz o teratogenním, </w:t>
      </w:r>
      <w:proofErr w:type="spellStart"/>
      <w:r w:rsidRPr="00FF4016">
        <w:t>fetotoxickém</w:t>
      </w:r>
      <w:proofErr w:type="spellEnd"/>
      <w:r w:rsidRPr="00FF4016">
        <w:t xml:space="preserve"> účinku nebo </w:t>
      </w:r>
      <w:proofErr w:type="spellStart"/>
      <w:r w:rsidRPr="00FF4016">
        <w:t>maternální</w:t>
      </w:r>
      <w:proofErr w:type="spellEnd"/>
      <w:r w:rsidRPr="00FF4016">
        <w:t xml:space="preserve"> toxicitě. Nebyla stanovena bezpečnost veterinárního léčivého přípravku pro použití během březosti a laktace. Použít pouze po zvážení terapeutického prospěchu a rizika příslušným veterinárním lékařem.</w:t>
      </w:r>
    </w:p>
    <w:p w14:paraId="138D0237" w14:textId="77777777" w:rsidR="009A1A5E" w:rsidRPr="00FF4016" w:rsidRDefault="009A1A5E" w:rsidP="00D34925">
      <w:pPr>
        <w:pStyle w:val="Zkladntext"/>
        <w:jc w:val="left"/>
      </w:pPr>
    </w:p>
    <w:p w14:paraId="239AA970" w14:textId="77777777" w:rsidR="009A1A5E" w:rsidRPr="00FF4016" w:rsidRDefault="00D34925" w:rsidP="00D34925">
      <w:pPr>
        <w:pStyle w:val="Style1"/>
      </w:pPr>
      <w:r w:rsidRPr="00FF4016">
        <w:t>3.8</w:t>
      </w:r>
      <w:r w:rsidRPr="00FF4016">
        <w:tab/>
        <w:t>Interakce s jinými léčivými přípravky a další formy interakce</w:t>
      </w:r>
    </w:p>
    <w:p w14:paraId="7F62E82A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0719DD7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>Nejsou známy.</w:t>
      </w:r>
    </w:p>
    <w:p w14:paraId="71C105AA" w14:textId="77777777" w:rsidR="009A1A5E" w:rsidRPr="00FF4016" w:rsidRDefault="009A1A5E" w:rsidP="00D34925">
      <w:pPr>
        <w:pStyle w:val="Style1"/>
      </w:pPr>
    </w:p>
    <w:p w14:paraId="15032C51" w14:textId="77777777" w:rsidR="009A1A5E" w:rsidRPr="00FF4016" w:rsidRDefault="00D34925" w:rsidP="00D34925">
      <w:pPr>
        <w:pStyle w:val="Style1"/>
      </w:pPr>
      <w:r w:rsidRPr="00FF4016">
        <w:t>3.9</w:t>
      </w:r>
      <w:r w:rsidRPr="00FF4016">
        <w:tab/>
        <w:t>Cesty podání a dávkování</w:t>
      </w:r>
    </w:p>
    <w:p w14:paraId="35C7E616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50D2987B" w14:textId="77777777" w:rsidR="009A1A5E" w:rsidRPr="00FF4016" w:rsidRDefault="00D34925" w:rsidP="00D34925">
      <w:pPr>
        <w:pStyle w:val="Zkladntext"/>
        <w:jc w:val="left"/>
      </w:pPr>
      <w:r w:rsidRPr="00FF4016">
        <w:rPr>
          <w:u w:val="single"/>
        </w:rPr>
        <w:t>Skot</w:t>
      </w:r>
    </w:p>
    <w:p w14:paraId="3A309341" w14:textId="77777777" w:rsidR="009A1A5E" w:rsidRPr="00FF4016" w:rsidRDefault="00D34925" w:rsidP="00D34925">
      <w:pPr>
        <w:pStyle w:val="Zkladntext"/>
        <w:jc w:val="left"/>
      </w:pPr>
      <w:r w:rsidRPr="00FF4016">
        <w:t>Subkutánní podání.</w:t>
      </w:r>
    </w:p>
    <w:p w14:paraId="748E0604" w14:textId="4834DD18" w:rsidR="009A1A5E" w:rsidRPr="00FF4016" w:rsidRDefault="00D34925" w:rsidP="00D34925">
      <w:pPr>
        <w:pStyle w:val="Zkladntext"/>
        <w:jc w:val="left"/>
      </w:pPr>
      <w:r w:rsidRPr="00FF4016">
        <w:t xml:space="preserve">Jednorázové subkutánní podání 2,5 mg </w:t>
      </w:r>
      <w:proofErr w:type="spellStart"/>
      <w:r w:rsidRPr="00FF4016">
        <w:t>tulathromycinu</w:t>
      </w:r>
      <w:proofErr w:type="spellEnd"/>
      <w:r w:rsidRPr="00FF4016">
        <w:t xml:space="preserve">/kg živé hmotnosti (odpovídá 1 ml/40 kg živé hmotnosti). Při léčbě skotu nad 300 kg živé hmotnosti rozdělte dávku tak, aby na jedno místo nebylo </w:t>
      </w:r>
      <w:r w:rsidR="00410BED" w:rsidRPr="00FF4016">
        <w:t xml:space="preserve">podáno </w:t>
      </w:r>
      <w:r w:rsidRPr="00FF4016">
        <w:t>více jak 7,5 ml.</w:t>
      </w:r>
    </w:p>
    <w:p w14:paraId="0789CCC1" w14:textId="77777777" w:rsidR="009A1A5E" w:rsidRPr="00FF4016" w:rsidRDefault="009A1A5E" w:rsidP="00D34925">
      <w:pPr>
        <w:pStyle w:val="Zkladntext"/>
        <w:jc w:val="left"/>
      </w:pPr>
    </w:p>
    <w:p w14:paraId="4C80C0FC" w14:textId="77777777" w:rsidR="009A1A5E" w:rsidRPr="00FF4016" w:rsidRDefault="00D34925" w:rsidP="00D34925">
      <w:pPr>
        <w:pStyle w:val="Zkladntext"/>
        <w:jc w:val="left"/>
      </w:pPr>
      <w:r w:rsidRPr="00FF4016">
        <w:rPr>
          <w:u w:val="single"/>
        </w:rPr>
        <w:t>Prasata</w:t>
      </w:r>
    </w:p>
    <w:p w14:paraId="02785838" w14:textId="77777777" w:rsidR="009A1A5E" w:rsidRPr="00FF4016" w:rsidRDefault="00D34925" w:rsidP="00D34925">
      <w:pPr>
        <w:pStyle w:val="Zkladntext"/>
        <w:jc w:val="left"/>
      </w:pPr>
      <w:r w:rsidRPr="00FF4016">
        <w:t>Intramuskulární podání.</w:t>
      </w:r>
    </w:p>
    <w:p w14:paraId="5DDD198F" w14:textId="77777777" w:rsidR="009A1A5E" w:rsidRPr="00FF4016" w:rsidRDefault="00D34925" w:rsidP="00D34925">
      <w:pPr>
        <w:pStyle w:val="Zkladntext"/>
        <w:jc w:val="left"/>
      </w:pPr>
      <w:r w:rsidRPr="00FF4016">
        <w:lastRenderedPageBreak/>
        <w:t xml:space="preserve">Jednorázové intramuskulární podání 2,5 mg </w:t>
      </w:r>
      <w:proofErr w:type="spellStart"/>
      <w:r w:rsidRPr="00FF4016">
        <w:t>tulathromycinu</w:t>
      </w:r>
      <w:proofErr w:type="spellEnd"/>
      <w:r w:rsidRPr="00FF4016">
        <w:t xml:space="preserve">/kg živé hmotnosti (odpovídá 1 ml/40 kg živé hmotnosti) do krku. </w:t>
      </w:r>
    </w:p>
    <w:p w14:paraId="062A6C28" w14:textId="77777777" w:rsidR="009A1A5E" w:rsidRPr="00FF4016" w:rsidRDefault="009A1A5E" w:rsidP="00D34925">
      <w:pPr>
        <w:pStyle w:val="Zkladntext"/>
        <w:jc w:val="left"/>
      </w:pPr>
    </w:p>
    <w:p w14:paraId="2483DF8C" w14:textId="2F12BC9C" w:rsidR="009A1A5E" w:rsidRPr="00FF4016" w:rsidRDefault="00D34925" w:rsidP="00D34925">
      <w:pPr>
        <w:pStyle w:val="Zkladntext"/>
        <w:jc w:val="left"/>
      </w:pPr>
      <w:r w:rsidRPr="00FF4016">
        <w:t xml:space="preserve">Při léčbě prasat nad 80 kg živé hmotnosti rozdělte dávku tak, aby na jedno místo nebylo </w:t>
      </w:r>
      <w:r w:rsidR="00410BED" w:rsidRPr="00FF4016">
        <w:t>pod</w:t>
      </w:r>
      <w:r w:rsidRPr="00FF4016">
        <w:t>áno více jak 2 ml.</w:t>
      </w:r>
    </w:p>
    <w:p w14:paraId="7223CD5B" w14:textId="77777777" w:rsidR="009A1A5E" w:rsidRPr="00FF4016" w:rsidRDefault="009A1A5E" w:rsidP="00D34925">
      <w:pPr>
        <w:pStyle w:val="Zkladntext"/>
        <w:jc w:val="left"/>
      </w:pPr>
    </w:p>
    <w:p w14:paraId="628A118B" w14:textId="77777777" w:rsidR="009A1A5E" w:rsidRPr="00FF4016" w:rsidRDefault="00D34925" w:rsidP="00D34925">
      <w:pPr>
        <w:pStyle w:val="Zkladntext"/>
        <w:jc w:val="left"/>
      </w:pPr>
      <w:r w:rsidRPr="00FF4016">
        <w:t>Při jakémkoliv respiračním onemocnění se doporučuje léčit zvířata v počátečních stádiích onemocnění a zhodnotit odpověď na léčbu za 48 hodin po podání. Pokud klinické příznaky respiračního onemocnění přetrvávají nebo se zhoršují nebo dojde k recidivě, měla by být léčba změněna s použitím jiného antibiotika a je třeba s léčbou pokračovat až do vymizení klinických příznaků.</w:t>
      </w:r>
    </w:p>
    <w:p w14:paraId="65CFFA81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76CA0E1D" w14:textId="77777777" w:rsidR="009A1A5E" w:rsidRPr="00FF4016" w:rsidRDefault="00D34925" w:rsidP="00D34925">
      <w:pPr>
        <w:pStyle w:val="Zkladntext"/>
        <w:keepNext/>
        <w:jc w:val="left"/>
      </w:pPr>
      <w:r w:rsidRPr="00FF4016">
        <w:rPr>
          <w:u w:val="single"/>
        </w:rPr>
        <w:t>Ovce</w:t>
      </w:r>
    </w:p>
    <w:p w14:paraId="408C53EA" w14:textId="77777777" w:rsidR="009A1A5E" w:rsidRPr="00FF4016" w:rsidRDefault="00D34925" w:rsidP="00D34925">
      <w:pPr>
        <w:pStyle w:val="Zkladntext"/>
        <w:keepNext/>
        <w:jc w:val="left"/>
      </w:pPr>
      <w:r w:rsidRPr="00FF4016">
        <w:t>Intramuskulární podání.</w:t>
      </w:r>
    </w:p>
    <w:p w14:paraId="627C08B4" w14:textId="77777777" w:rsidR="009A1A5E" w:rsidRPr="00FF4016" w:rsidRDefault="00D34925" w:rsidP="00D34925">
      <w:pPr>
        <w:pStyle w:val="Zkladntext"/>
        <w:ind w:hanging="1"/>
        <w:jc w:val="left"/>
      </w:pPr>
      <w:r w:rsidRPr="00FF4016">
        <w:t xml:space="preserve">Jednorázové intramuskulární podání 2,5 mg </w:t>
      </w:r>
      <w:proofErr w:type="spellStart"/>
      <w:r w:rsidRPr="00FF4016">
        <w:t>tulathromycinu</w:t>
      </w:r>
      <w:proofErr w:type="spellEnd"/>
      <w:r w:rsidRPr="00FF4016">
        <w:t>/kg živé hmotnosti (odpovídá 1 ml/40 kg živé hmotnosti) do krku.</w:t>
      </w:r>
    </w:p>
    <w:p w14:paraId="4B66D348" w14:textId="77777777" w:rsidR="009A1A5E" w:rsidRPr="00FF4016" w:rsidRDefault="009A1A5E" w:rsidP="00D34925">
      <w:pPr>
        <w:pStyle w:val="Zkladntext"/>
        <w:jc w:val="left"/>
      </w:pPr>
    </w:p>
    <w:p w14:paraId="42C44E98" w14:textId="7CDA6CCF" w:rsidR="009A1A5E" w:rsidRPr="00FF4016" w:rsidRDefault="00D34925" w:rsidP="00D34925">
      <w:pPr>
        <w:pStyle w:val="Zkladntext"/>
        <w:jc w:val="left"/>
      </w:pPr>
      <w:r w:rsidRPr="00FF4016">
        <w:t>K zajištění správného dávkování má být živá hmotnost stanovena tak přesně, jak je to možné. Při vícenásobném odběru z injekční lahvičky se doporučuje použití aspirační jehly nebo dávkovacího injekčního automatu, aby se předešlo nadměrnému propichování gumové zátky.</w:t>
      </w:r>
    </w:p>
    <w:p w14:paraId="0007E41B" w14:textId="77777777" w:rsidR="009A1A5E" w:rsidRPr="00FF4016" w:rsidRDefault="009A1A5E" w:rsidP="00D34925">
      <w:pPr>
        <w:pStyle w:val="Zkladntext"/>
        <w:jc w:val="left"/>
      </w:pPr>
    </w:p>
    <w:p w14:paraId="49C68CD7" w14:textId="77777777" w:rsidR="009A1A5E" w:rsidRPr="00FF4016" w:rsidRDefault="00D34925" w:rsidP="00D34925">
      <w:pPr>
        <w:spacing w:line="240" w:lineRule="auto"/>
      </w:pPr>
      <w:r w:rsidRPr="00FF4016">
        <w:t>Gumovou zátku lze bezpečně propíchnout max. 25krát u 100ml lahviček a max. 50krát u 250ml lahviček.</w:t>
      </w:r>
    </w:p>
    <w:p w14:paraId="6115F450" w14:textId="77777777" w:rsidR="009A1A5E" w:rsidRPr="00FF4016" w:rsidRDefault="009A1A5E" w:rsidP="00D34925">
      <w:pPr>
        <w:pStyle w:val="Zkladntext"/>
        <w:jc w:val="left"/>
      </w:pPr>
    </w:p>
    <w:p w14:paraId="224A913B" w14:textId="77777777" w:rsidR="009A1A5E" w:rsidRPr="00FF4016" w:rsidRDefault="00D34925" w:rsidP="00D34925">
      <w:pPr>
        <w:pStyle w:val="Style1"/>
      </w:pPr>
      <w:r w:rsidRPr="00FF4016">
        <w:t>3.10</w:t>
      </w:r>
      <w:r w:rsidRPr="00FF4016">
        <w:tab/>
        <w:t xml:space="preserve">Příznaky předávkování (a kde je relevantní, první pomoc a </w:t>
      </w:r>
      <w:proofErr w:type="spellStart"/>
      <w:r w:rsidRPr="00FF4016">
        <w:t>antidota</w:t>
      </w:r>
      <w:proofErr w:type="spellEnd"/>
      <w:r w:rsidRPr="00FF4016">
        <w:t xml:space="preserve">) </w:t>
      </w:r>
    </w:p>
    <w:p w14:paraId="21B25B0E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525BDAA9" w14:textId="77777777" w:rsidR="009A1A5E" w:rsidRPr="00FF4016" w:rsidRDefault="00D34925" w:rsidP="00D34925">
      <w:pPr>
        <w:pStyle w:val="Zkladntext"/>
        <w:jc w:val="left"/>
      </w:pPr>
      <w:r w:rsidRPr="00FF4016">
        <w:t xml:space="preserve">U skotu při podání troj-, </w:t>
      </w:r>
      <w:proofErr w:type="gramStart"/>
      <w:r w:rsidRPr="00FF4016">
        <w:t>pěti- nebo</w:t>
      </w:r>
      <w:proofErr w:type="gramEnd"/>
      <w:r w:rsidRPr="00FF4016">
        <w:t xml:space="preserve"> desetinásobku doporučené dávky byly pozorovány přechodné příznaky spojené s potížemi v místě podání, které následně vyvolaly neklid, třesení hlavou, hrabání nohou po zemi a krátkodobé snížení příjmu krmiva. Mírná degenerace myokardu byla pozorována u skotu, který dostal pětinásobek až šestinásobek doporučené dávky.</w:t>
      </w:r>
    </w:p>
    <w:p w14:paraId="28E0768A" w14:textId="77777777" w:rsidR="009A1A5E" w:rsidRPr="00FF4016" w:rsidRDefault="009A1A5E" w:rsidP="00D34925">
      <w:pPr>
        <w:pStyle w:val="Zkladntext"/>
        <w:jc w:val="left"/>
      </w:pPr>
    </w:p>
    <w:p w14:paraId="46304A40" w14:textId="77777777" w:rsidR="009A1A5E" w:rsidRPr="00FF4016" w:rsidRDefault="00D34925" w:rsidP="00D34925">
      <w:pPr>
        <w:pStyle w:val="Zkladntext"/>
        <w:jc w:val="left"/>
      </w:pPr>
      <w:r w:rsidRPr="00FF4016">
        <w:t xml:space="preserve">U mladých prasat vážících přibližně 10 kg po podání </w:t>
      </w:r>
      <w:proofErr w:type="gramStart"/>
      <w:r w:rsidRPr="00FF4016">
        <w:t>troj- nebo</w:t>
      </w:r>
      <w:proofErr w:type="gramEnd"/>
      <w:r w:rsidRPr="00FF4016">
        <w:t xml:space="preserve"> pětinásobku léčebné dávky byly pozorovány přechodné příznaky spojené s potížemi v místě podání a vyvolávající nadměrné hlasové projevy a neklid. Taktéž bylo pozorováno kulhání, pokud byla místem aplikace pánevní končetina.</w:t>
      </w:r>
    </w:p>
    <w:p w14:paraId="459D42FB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3D1F66D5" w14:textId="77777777" w:rsidR="009A1A5E" w:rsidRPr="00FF4016" w:rsidRDefault="00D34925" w:rsidP="00D34925">
      <w:pPr>
        <w:pStyle w:val="Zkladntext"/>
        <w:jc w:val="left"/>
      </w:pPr>
      <w:r w:rsidRPr="00FF4016">
        <w:t xml:space="preserve">U jehňat (zhruba v 6 týdnech věku) po podání </w:t>
      </w:r>
      <w:proofErr w:type="gramStart"/>
      <w:r w:rsidRPr="00FF4016">
        <w:t>troj- nebo</w:t>
      </w:r>
      <w:proofErr w:type="gramEnd"/>
      <w:r w:rsidRPr="00FF4016">
        <w:t xml:space="preserve"> pětinásobku doporučené dávky byly pozorovány přechodné příznaky spojené s potížemi v místě podání, zahrnující ustupování vzad, třesení hlavou, drbání v místě podání, polehávání a vstávání, bečení.</w:t>
      </w:r>
    </w:p>
    <w:p w14:paraId="78B8D670" w14:textId="77777777" w:rsidR="009A1A5E" w:rsidRPr="00FF4016" w:rsidRDefault="009A1A5E" w:rsidP="00D34925">
      <w:pPr>
        <w:pStyle w:val="Zkladntext"/>
        <w:jc w:val="left"/>
      </w:pPr>
    </w:p>
    <w:p w14:paraId="66077774" w14:textId="77777777" w:rsidR="009A1A5E" w:rsidRPr="00FF4016" w:rsidRDefault="00D34925" w:rsidP="00D34925">
      <w:pPr>
        <w:pStyle w:val="Style1"/>
      </w:pPr>
      <w:r w:rsidRPr="00FF4016">
        <w:t>3.11</w:t>
      </w:r>
      <w:r w:rsidRPr="00FF4016">
        <w:tab/>
        <w:t xml:space="preserve">Zvláštní omezení pro použití a zvláštní podmínky pro použití, včetně omezení používání antimikrobních a </w:t>
      </w:r>
      <w:proofErr w:type="spellStart"/>
      <w:r w:rsidRPr="00FF4016">
        <w:t>antiparazitárních</w:t>
      </w:r>
      <w:proofErr w:type="spellEnd"/>
      <w:r w:rsidRPr="00FF4016">
        <w:t xml:space="preserve"> veterinárních léčivých přípravků, za účelem snížení rizika rozvoje rezistence</w:t>
      </w:r>
    </w:p>
    <w:p w14:paraId="477E8537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AD2C3D9" w14:textId="5D1C004E" w:rsidR="00611C4E" w:rsidRPr="00FF4016" w:rsidRDefault="00611C4E" w:rsidP="00D34925">
      <w:pPr>
        <w:spacing w:line="240" w:lineRule="auto"/>
        <w:rPr>
          <w:color w:val="000000"/>
          <w:szCs w:val="22"/>
        </w:rPr>
      </w:pPr>
      <w:r w:rsidRPr="00FF4016">
        <w:t>Neuplatňuje se.</w:t>
      </w:r>
    </w:p>
    <w:p w14:paraId="501E2D07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0B246BA" w14:textId="77777777" w:rsidR="009A1A5E" w:rsidRPr="00FF4016" w:rsidRDefault="00D34925" w:rsidP="00D34925">
      <w:pPr>
        <w:pStyle w:val="Style1"/>
      </w:pPr>
      <w:r w:rsidRPr="00FF4016">
        <w:t>3.12</w:t>
      </w:r>
      <w:r w:rsidRPr="00FF4016">
        <w:tab/>
        <w:t>Ochranné lhůty</w:t>
      </w:r>
    </w:p>
    <w:p w14:paraId="4250179A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15A6341B" w14:textId="77777777" w:rsidR="009A1A5E" w:rsidRPr="00FF4016" w:rsidRDefault="00D34925" w:rsidP="00D34925">
      <w:pPr>
        <w:pStyle w:val="Zkladntext"/>
        <w:jc w:val="left"/>
      </w:pPr>
      <w:r w:rsidRPr="00FF4016">
        <w:t>Skot (maso): 22 dní.</w:t>
      </w:r>
    </w:p>
    <w:p w14:paraId="2429BC63" w14:textId="77777777" w:rsidR="009A1A5E" w:rsidRPr="00FF4016" w:rsidRDefault="00D34925" w:rsidP="00D34925">
      <w:pPr>
        <w:pStyle w:val="Zkladntext"/>
        <w:jc w:val="left"/>
      </w:pPr>
      <w:r w:rsidRPr="00FF4016">
        <w:t>Prasata (maso): 13 dní.</w:t>
      </w:r>
    </w:p>
    <w:p w14:paraId="702CEDDD" w14:textId="77777777" w:rsidR="009A1A5E" w:rsidRPr="00FF4016" w:rsidRDefault="00D34925" w:rsidP="00D34925">
      <w:pPr>
        <w:pStyle w:val="Zkladntext"/>
        <w:jc w:val="left"/>
      </w:pPr>
      <w:r w:rsidRPr="00FF4016">
        <w:t>Ovce (maso): 16 dní.</w:t>
      </w:r>
    </w:p>
    <w:p w14:paraId="06AE3791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649667F3" w14:textId="77777777" w:rsidR="009A1A5E" w:rsidRPr="00FF4016" w:rsidRDefault="00D34925" w:rsidP="00D34925">
      <w:pPr>
        <w:pStyle w:val="Zkladntext"/>
        <w:jc w:val="left"/>
      </w:pPr>
      <w:r w:rsidRPr="00FF4016">
        <w:t>Nepoužívat u zvířat, jejichž mléko je určeno pro lidskou spotřebu.</w:t>
      </w:r>
    </w:p>
    <w:p w14:paraId="791ED0E8" w14:textId="20C55B94" w:rsidR="009A1A5E" w:rsidRPr="00FF4016" w:rsidRDefault="00165806" w:rsidP="00D34925">
      <w:pPr>
        <w:pStyle w:val="Zkladntext"/>
        <w:jc w:val="left"/>
        <w:rPr>
          <w:sz w:val="20"/>
        </w:rPr>
      </w:pPr>
      <w:r w:rsidRPr="00FF4016">
        <w:t>B</w:t>
      </w:r>
      <w:r w:rsidR="00D34925" w:rsidRPr="00FF4016">
        <w:t>ěhem 2 měsíců před očekávaným porodem</w:t>
      </w:r>
      <w:r w:rsidRPr="00FF4016">
        <w:t xml:space="preserve"> nepoužívat</w:t>
      </w:r>
      <w:r w:rsidR="00D34925" w:rsidRPr="00FF4016">
        <w:t xml:space="preserve"> u březích zvířat určených</w:t>
      </w:r>
      <w:r w:rsidRPr="00FF4016">
        <w:t xml:space="preserve"> k</w:t>
      </w:r>
      <w:r w:rsidR="00D34925" w:rsidRPr="00FF4016">
        <w:t xml:space="preserve"> produkci mléka pro lidskou spotřebu.</w:t>
      </w:r>
    </w:p>
    <w:p w14:paraId="2E41493F" w14:textId="77777777" w:rsidR="009A1A5E" w:rsidRPr="00FF4016" w:rsidRDefault="009A1A5E" w:rsidP="00D34925">
      <w:pPr>
        <w:pStyle w:val="Zkladntext"/>
        <w:jc w:val="left"/>
        <w:rPr>
          <w:szCs w:val="22"/>
        </w:rPr>
      </w:pPr>
    </w:p>
    <w:p w14:paraId="19A3BE3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9C44281" w14:textId="77777777" w:rsidR="009A1A5E" w:rsidRPr="00FF4016" w:rsidRDefault="00D34925" w:rsidP="00B10A97">
      <w:pPr>
        <w:pStyle w:val="Style1"/>
        <w:keepNext/>
      </w:pPr>
      <w:r w:rsidRPr="00FF4016">
        <w:lastRenderedPageBreak/>
        <w:t>4.</w:t>
      </w:r>
      <w:r w:rsidRPr="00FF4016">
        <w:tab/>
        <w:t>FARMAKOLOGICKÉ INFORMACE</w:t>
      </w:r>
    </w:p>
    <w:p w14:paraId="39382D80" w14:textId="77777777" w:rsidR="009A1A5E" w:rsidRPr="00FF4016" w:rsidRDefault="009A1A5E" w:rsidP="00B10A9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82B418" w14:textId="7A45356E" w:rsidR="009A1A5E" w:rsidRPr="00FF4016" w:rsidRDefault="00D34925" w:rsidP="00B10A97">
      <w:pPr>
        <w:pStyle w:val="Style1"/>
        <w:keepNext/>
        <w:rPr>
          <w:b w:val="0"/>
          <w:bCs/>
        </w:rPr>
      </w:pPr>
      <w:r w:rsidRPr="00FF4016">
        <w:t>4.1</w:t>
      </w:r>
      <w:r w:rsidRPr="00FF4016">
        <w:tab/>
      </w:r>
      <w:proofErr w:type="spellStart"/>
      <w:r w:rsidRPr="00FF4016">
        <w:t>ATCvet</w:t>
      </w:r>
      <w:proofErr w:type="spellEnd"/>
      <w:r w:rsidRPr="00FF4016">
        <w:t xml:space="preserve"> kód: </w:t>
      </w:r>
      <w:r w:rsidRPr="00FF4016">
        <w:rPr>
          <w:b w:val="0"/>
          <w:bCs/>
        </w:rPr>
        <w:t>QJ01FA94</w:t>
      </w:r>
    </w:p>
    <w:p w14:paraId="6843CD44" w14:textId="77777777" w:rsidR="009A1A5E" w:rsidRPr="00FF4016" w:rsidRDefault="009A1A5E" w:rsidP="00B10A97">
      <w:pPr>
        <w:keepNext/>
        <w:tabs>
          <w:tab w:val="clear" w:pos="567"/>
        </w:tabs>
        <w:spacing w:line="240" w:lineRule="auto"/>
        <w:rPr>
          <w:bCs/>
          <w:szCs w:val="22"/>
        </w:rPr>
      </w:pPr>
    </w:p>
    <w:p w14:paraId="0C268DA9" w14:textId="77777777" w:rsidR="009A1A5E" w:rsidRPr="00FF4016" w:rsidRDefault="00D34925" w:rsidP="00B10A97">
      <w:pPr>
        <w:pStyle w:val="Style1"/>
        <w:keepNext/>
      </w:pPr>
      <w:r w:rsidRPr="00FF4016">
        <w:t>4.2</w:t>
      </w:r>
      <w:r w:rsidRPr="00FF4016">
        <w:tab/>
        <w:t>Farmakodynamika</w:t>
      </w:r>
    </w:p>
    <w:p w14:paraId="3E154BB6" w14:textId="77777777" w:rsidR="009A1A5E" w:rsidRPr="00FF4016" w:rsidRDefault="009A1A5E" w:rsidP="00B10A97">
      <w:pPr>
        <w:pStyle w:val="Zkladntext"/>
        <w:keepNext/>
        <w:jc w:val="left"/>
        <w:rPr>
          <w:b/>
          <w:sz w:val="21"/>
        </w:rPr>
      </w:pPr>
    </w:p>
    <w:p w14:paraId="52064B40" w14:textId="77777777" w:rsidR="009A1A5E" w:rsidRPr="00FF4016" w:rsidRDefault="00D34925" w:rsidP="00D34925">
      <w:pPr>
        <w:pStyle w:val="Zkladntext"/>
        <w:jc w:val="left"/>
      </w:pPr>
      <w:proofErr w:type="spellStart"/>
      <w:r w:rsidRPr="00FF4016">
        <w:t>Tulathromycin</w:t>
      </w:r>
      <w:proofErr w:type="spellEnd"/>
      <w:r w:rsidRPr="00FF4016">
        <w:t xml:space="preserve"> je </w:t>
      </w:r>
      <w:proofErr w:type="spellStart"/>
      <w:r w:rsidRPr="00FF4016">
        <w:t>semi</w:t>
      </w:r>
      <w:proofErr w:type="spellEnd"/>
      <w:r w:rsidRPr="00FF4016">
        <w:t xml:space="preserve">-syntetická </w:t>
      </w:r>
      <w:proofErr w:type="spellStart"/>
      <w:r w:rsidRPr="00FF4016">
        <w:t>makrolidová</w:t>
      </w:r>
      <w:proofErr w:type="spellEnd"/>
      <w:r w:rsidRPr="00FF4016">
        <w:t xml:space="preserve"> antimikrobiální látka, která pochází z fermentačního produktu. Odlišuje se od mnohých jiných </w:t>
      </w:r>
      <w:proofErr w:type="spellStart"/>
      <w:r w:rsidRPr="00FF4016">
        <w:t>makrolidů</w:t>
      </w:r>
      <w:proofErr w:type="spellEnd"/>
      <w:r w:rsidRPr="00FF4016">
        <w:t xml:space="preserve"> v tom, že má dlouhotrvající účinek, který je částečně způsoben jeho třemi aminovými skupinami; proto dostal chemické </w:t>
      </w:r>
      <w:proofErr w:type="spellStart"/>
      <w:r w:rsidRPr="00FF4016">
        <w:t>podskupinové</w:t>
      </w:r>
      <w:proofErr w:type="spellEnd"/>
      <w:r w:rsidRPr="00FF4016">
        <w:t xml:space="preserve"> označení </w:t>
      </w:r>
      <w:proofErr w:type="spellStart"/>
      <w:r w:rsidRPr="00FF4016">
        <w:t>triamilid</w:t>
      </w:r>
      <w:proofErr w:type="spellEnd"/>
      <w:r w:rsidRPr="00FF4016">
        <w:t>.</w:t>
      </w:r>
    </w:p>
    <w:p w14:paraId="5681B0B0" w14:textId="77777777" w:rsidR="009A1A5E" w:rsidRPr="00FF4016" w:rsidRDefault="009A1A5E" w:rsidP="00D34925">
      <w:pPr>
        <w:pStyle w:val="Zkladntext"/>
        <w:jc w:val="left"/>
      </w:pPr>
    </w:p>
    <w:p w14:paraId="486432FE" w14:textId="4C1FC04F" w:rsidR="009A1A5E" w:rsidRPr="00FF4016" w:rsidRDefault="00D34925" w:rsidP="00D34925">
      <w:pPr>
        <w:pStyle w:val="Zkladntext"/>
        <w:jc w:val="left"/>
      </w:pPr>
      <w:proofErr w:type="spellStart"/>
      <w:r w:rsidRPr="00FF4016">
        <w:t>Makrolidy</w:t>
      </w:r>
      <w:proofErr w:type="spellEnd"/>
      <w:r w:rsidRPr="00FF4016">
        <w:t xml:space="preserve"> jsou bakteriostaticky účinkující antibiotika a inhibují biosyntézu </w:t>
      </w:r>
      <w:r w:rsidR="00CC4616" w:rsidRPr="00FF4016">
        <w:t xml:space="preserve">esenciálních </w:t>
      </w:r>
      <w:r w:rsidRPr="00FF4016">
        <w:t xml:space="preserve">bílkovin díky jejich schopnosti selektivně se vázat na bakteriální ribozomální RNA. Působí prostřednictvím stimulace disociace </w:t>
      </w:r>
      <w:proofErr w:type="spellStart"/>
      <w:r w:rsidRPr="00FF4016">
        <w:t>peptidyl-tRNA</w:t>
      </w:r>
      <w:proofErr w:type="spellEnd"/>
      <w:r w:rsidRPr="00FF4016">
        <w:t xml:space="preserve"> z ribozomu během procesu translokace.</w:t>
      </w:r>
    </w:p>
    <w:p w14:paraId="4705190F" w14:textId="77777777" w:rsidR="009A1A5E" w:rsidRPr="00FF4016" w:rsidRDefault="009A1A5E" w:rsidP="00D34925">
      <w:pPr>
        <w:pStyle w:val="Zkladntext"/>
        <w:jc w:val="left"/>
      </w:pPr>
    </w:p>
    <w:p w14:paraId="299F25AC" w14:textId="77777777" w:rsidR="009A1A5E" w:rsidRPr="00FF4016" w:rsidRDefault="00D34925" w:rsidP="00D34925">
      <w:pPr>
        <w:spacing w:line="240" w:lineRule="auto"/>
      </w:pPr>
      <w:proofErr w:type="spellStart"/>
      <w:r w:rsidRPr="00FF4016">
        <w:t>Tulathromycin</w:t>
      </w:r>
      <w:proofErr w:type="spellEnd"/>
      <w:r w:rsidRPr="00FF4016">
        <w:t xml:space="preserve"> má </w:t>
      </w:r>
      <w:r w:rsidRPr="00FF4016">
        <w:rPr>
          <w:i/>
        </w:rPr>
        <w:t xml:space="preserve">in vitro </w:t>
      </w:r>
      <w:r w:rsidRPr="00FF4016">
        <w:t xml:space="preserve">účinnost proti </w:t>
      </w:r>
      <w:proofErr w:type="spellStart"/>
      <w:r w:rsidRPr="00FF4016">
        <w:rPr>
          <w:i/>
        </w:rPr>
        <w:t>Mannheimia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haemolytica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Pasteurella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multocida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Histophilus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somni</w:t>
      </w:r>
      <w:proofErr w:type="spellEnd"/>
      <w:r w:rsidRPr="00FF4016">
        <w:rPr>
          <w:i/>
        </w:rPr>
        <w:t xml:space="preserve"> </w:t>
      </w:r>
      <w:r w:rsidRPr="00FF4016">
        <w:t xml:space="preserve">a </w:t>
      </w:r>
      <w:proofErr w:type="spellStart"/>
      <w:r w:rsidRPr="00FF4016">
        <w:rPr>
          <w:i/>
        </w:rPr>
        <w:t>Mycoplasma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bovis</w:t>
      </w:r>
      <w:proofErr w:type="spellEnd"/>
      <w:r w:rsidRPr="00FF4016">
        <w:t xml:space="preserve">, a </w:t>
      </w:r>
      <w:proofErr w:type="spellStart"/>
      <w:r w:rsidRPr="00FF4016">
        <w:rPr>
          <w:i/>
        </w:rPr>
        <w:t>Actinobacillus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pleuropneumoniae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Pasteurella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multocida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Mycoplasma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hyopneumoniae</w:t>
      </w:r>
      <w:proofErr w:type="spellEnd"/>
      <w:r w:rsidRPr="00FF4016">
        <w:t xml:space="preserve">, </w:t>
      </w:r>
      <w:proofErr w:type="spellStart"/>
      <w:r w:rsidRPr="00FF4016">
        <w:rPr>
          <w:i/>
        </w:rPr>
        <w:t>Haemophilus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parasuis</w:t>
      </w:r>
      <w:proofErr w:type="spellEnd"/>
      <w:r w:rsidRPr="00FF4016">
        <w:rPr>
          <w:i/>
        </w:rPr>
        <w:t xml:space="preserve"> </w:t>
      </w:r>
      <w:r w:rsidRPr="00FF4016">
        <w:t xml:space="preserve">a </w:t>
      </w:r>
      <w:proofErr w:type="spellStart"/>
      <w:r w:rsidRPr="00FF4016">
        <w:rPr>
          <w:i/>
        </w:rPr>
        <w:t>Bordetella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bronchiseptica</w:t>
      </w:r>
      <w:proofErr w:type="spellEnd"/>
      <w:r w:rsidRPr="00FF4016">
        <w:t xml:space="preserve">, bakteriálním patogenům nejčastěji spojeným s respiračními onemocněními skotu a prasat. Zvýšené hodnoty minimální inhibiční koncentrace (MIC) byly zjištěny u některých izolátů </w:t>
      </w:r>
      <w:proofErr w:type="spellStart"/>
      <w:r w:rsidRPr="00FF4016">
        <w:rPr>
          <w:i/>
        </w:rPr>
        <w:t>Histophilus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somni</w:t>
      </w:r>
      <w:proofErr w:type="spellEnd"/>
      <w:r w:rsidRPr="00FF4016">
        <w:rPr>
          <w:i/>
        </w:rPr>
        <w:t xml:space="preserve"> </w:t>
      </w:r>
      <w:r w:rsidRPr="00FF4016">
        <w:t xml:space="preserve">a </w:t>
      </w:r>
      <w:proofErr w:type="spellStart"/>
      <w:r w:rsidRPr="00FF4016">
        <w:rPr>
          <w:i/>
        </w:rPr>
        <w:t>Actinobacillus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pleuropneumoniae</w:t>
      </w:r>
      <w:proofErr w:type="spellEnd"/>
      <w:r w:rsidRPr="00FF4016">
        <w:t xml:space="preserve">. Byla stanovena </w:t>
      </w:r>
      <w:r w:rsidRPr="00FF4016">
        <w:rPr>
          <w:i/>
        </w:rPr>
        <w:t xml:space="preserve">in vitro </w:t>
      </w:r>
      <w:r w:rsidRPr="00FF4016">
        <w:t xml:space="preserve">účinnost proti </w:t>
      </w:r>
      <w:proofErr w:type="spellStart"/>
      <w:r w:rsidRPr="00FF4016">
        <w:rPr>
          <w:i/>
        </w:rPr>
        <w:t>Dichelobacter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nodosus</w:t>
      </w:r>
      <w:proofErr w:type="spellEnd"/>
      <w:r w:rsidRPr="00FF4016">
        <w:rPr>
          <w:i/>
        </w:rPr>
        <w:t xml:space="preserve"> </w:t>
      </w:r>
      <w:r w:rsidRPr="00FF4016">
        <w:t>(</w:t>
      </w:r>
      <w:r w:rsidRPr="00FF4016">
        <w:rPr>
          <w:i/>
        </w:rPr>
        <w:t>vir</w:t>
      </w:r>
      <w:r w:rsidRPr="00FF4016">
        <w:t>), bakteriálnímu patogenu,</w:t>
      </w:r>
      <w:r w:rsidRPr="00FF4016">
        <w:rPr>
          <w:spacing w:val="-5"/>
        </w:rPr>
        <w:t xml:space="preserve"> </w:t>
      </w:r>
      <w:r w:rsidRPr="00FF4016">
        <w:t>který</w:t>
      </w:r>
      <w:r w:rsidRPr="00FF4016">
        <w:rPr>
          <w:spacing w:val="-4"/>
        </w:rPr>
        <w:t xml:space="preserve"> </w:t>
      </w:r>
      <w:r w:rsidRPr="00FF4016">
        <w:t>je</w:t>
      </w:r>
      <w:r w:rsidRPr="00FF4016">
        <w:rPr>
          <w:spacing w:val="-5"/>
        </w:rPr>
        <w:t xml:space="preserve"> </w:t>
      </w:r>
      <w:r w:rsidRPr="00FF4016">
        <w:t>nejčastěji</w:t>
      </w:r>
      <w:r w:rsidRPr="00FF4016">
        <w:rPr>
          <w:spacing w:val="-4"/>
        </w:rPr>
        <w:t xml:space="preserve"> </w:t>
      </w:r>
      <w:r w:rsidRPr="00FF4016">
        <w:t>spojen</w:t>
      </w:r>
      <w:r w:rsidRPr="00FF4016">
        <w:rPr>
          <w:spacing w:val="-4"/>
        </w:rPr>
        <w:t xml:space="preserve"> </w:t>
      </w:r>
      <w:r w:rsidRPr="00FF4016">
        <w:t>s</w:t>
      </w:r>
      <w:r w:rsidRPr="00FF4016">
        <w:rPr>
          <w:spacing w:val="-4"/>
        </w:rPr>
        <w:t xml:space="preserve"> </w:t>
      </w:r>
      <w:r w:rsidRPr="00FF4016">
        <w:t>infekční</w:t>
      </w:r>
      <w:r w:rsidRPr="00FF4016">
        <w:rPr>
          <w:spacing w:val="-4"/>
        </w:rPr>
        <w:t xml:space="preserve"> </w:t>
      </w:r>
      <w:proofErr w:type="spellStart"/>
      <w:r w:rsidRPr="00FF4016">
        <w:t>pododermatitidou</w:t>
      </w:r>
      <w:proofErr w:type="spellEnd"/>
      <w:r w:rsidRPr="00FF4016">
        <w:rPr>
          <w:spacing w:val="-5"/>
        </w:rPr>
        <w:t xml:space="preserve"> </w:t>
      </w:r>
      <w:r w:rsidRPr="00FF4016">
        <w:t>(</w:t>
      </w:r>
      <w:proofErr w:type="spellStart"/>
      <w:r w:rsidRPr="00FF4016">
        <w:t>nekrobacilózou</w:t>
      </w:r>
      <w:proofErr w:type="spellEnd"/>
      <w:r w:rsidRPr="00FF4016">
        <w:rPr>
          <w:spacing w:val="-5"/>
        </w:rPr>
        <w:t xml:space="preserve"> </w:t>
      </w:r>
      <w:r w:rsidRPr="00FF4016">
        <w:t>prstů)</w:t>
      </w:r>
      <w:r w:rsidRPr="00FF4016">
        <w:rPr>
          <w:spacing w:val="-4"/>
        </w:rPr>
        <w:t xml:space="preserve"> </w:t>
      </w:r>
      <w:r w:rsidRPr="00FF4016">
        <w:t>u</w:t>
      </w:r>
      <w:r w:rsidRPr="00FF4016">
        <w:rPr>
          <w:spacing w:val="-4"/>
        </w:rPr>
        <w:t xml:space="preserve"> </w:t>
      </w:r>
      <w:r w:rsidRPr="00FF4016">
        <w:t>ovcí.</w:t>
      </w:r>
    </w:p>
    <w:p w14:paraId="59750D6D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7A90F58C" w14:textId="77777777" w:rsidR="009A1A5E" w:rsidRPr="00FF4016" w:rsidRDefault="00D34925" w:rsidP="00D34925">
      <w:pPr>
        <w:pStyle w:val="Zkladntext"/>
        <w:jc w:val="left"/>
      </w:pPr>
      <w:proofErr w:type="spellStart"/>
      <w:r w:rsidRPr="00FF4016">
        <w:t>Tulathromycin</w:t>
      </w:r>
      <w:proofErr w:type="spellEnd"/>
      <w:r w:rsidRPr="00FF4016">
        <w:t xml:space="preserve"> má rovněž </w:t>
      </w:r>
      <w:r w:rsidRPr="00FF4016">
        <w:rPr>
          <w:i/>
        </w:rPr>
        <w:t xml:space="preserve">in vitro </w:t>
      </w:r>
      <w:r w:rsidRPr="00FF4016">
        <w:t xml:space="preserve">účinnost proti </w:t>
      </w:r>
      <w:proofErr w:type="spellStart"/>
      <w:r w:rsidRPr="00FF4016">
        <w:rPr>
          <w:i/>
        </w:rPr>
        <w:t>Moraxella</w:t>
      </w:r>
      <w:proofErr w:type="spellEnd"/>
      <w:r w:rsidRPr="00FF4016">
        <w:rPr>
          <w:i/>
        </w:rPr>
        <w:t xml:space="preserve"> </w:t>
      </w:r>
      <w:proofErr w:type="spellStart"/>
      <w:r w:rsidRPr="00FF4016">
        <w:rPr>
          <w:i/>
        </w:rPr>
        <w:t>bovis</w:t>
      </w:r>
      <w:proofErr w:type="spellEnd"/>
      <w:r w:rsidRPr="00FF4016">
        <w:t>, bakteriálnímu patogenu nejčastěji spojenému s infekční bovinní keratokonjunktivitidou (IBK).</w:t>
      </w:r>
    </w:p>
    <w:p w14:paraId="2628EBBB" w14:textId="77777777" w:rsidR="009A1A5E" w:rsidRPr="00FF4016" w:rsidRDefault="009A1A5E" w:rsidP="00D34925">
      <w:pPr>
        <w:spacing w:line="240" w:lineRule="auto"/>
      </w:pPr>
    </w:p>
    <w:p w14:paraId="0AE81FC2" w14:textId="154E5422" w:rsidR="009A1A5E" w:rsidRPr="00FF4016" w:rsidRDefault="00D34925" w:rsidP="00D34925">
      <w:pPr>
        <w:pStyle w:val="Zkladntext"/>
        <w:jc w:val="left"/>
        <w:rPr>
          <w:sz w:val="21"/>
        </w:rPr>
      </w:pPr>
      <w:proofErr w:type="spellStart"/>
      <w:r w:rsidRPr="00FF4016">
        <w:rPr>
          <w:sz w:val="21"/>
        </w:rPr>
        <w:t>Clinical</w:t>
      </w:r>
      <w:proofErr w:type="spellEnd"/>
      <w:r w:rsidRPr="00FF4016">
        <w:rPr>
          <w:sz w:val="21"/>
        </w:rPr>
        <w:t xml:space="preserve"> and </w:t>
      </w:r>
      <w:proofErr w:type="spellStart"/>
      <w:r w:rsidRPr="00FF4016">
        <w:rPr>
          <w:sz w:val="21"/>
        </w:rPr>
        <w:t>Laboratory</w:t>
      </w:r>
      <w:proofErr w:type="spellEnd"/>
      <w:r w:rsidRPr="00FF4016">
        <w:rPr>
          <w:sz w:val="21"/>
        </w:rPr>
        <w:t xml:space="preserve"> </w:t>
      </w:r>
      <w:proofErr w:type="spellStart"/>
      <w:r w:rsidRPr="00FF4016">
        <w:rPr>
          <w:sz w:val="21"/>
        </w:rPr>
        <w:t>Standards</w:t>
      </w:r>
      <w:proofErr w:type="spellEnd"/>
      <w:r w:rsidRPr="00FF4016">
        <w:rPr>
          <w:sz w:val="21"/>
        </w:rPr>
        <w:t xml:space="preserve"> Institute (CLSI) stanovil klinické hraniční hodnoty </w:t>
      </w:r>
      <w:proofErr w:type="spellStart"/>
      <w:r w:rsidRPr="00FF4016">
        <w:rPr>
          <w:sz w:val="21"/>
        </w:rPr>
        <w:t>tulathromycinu</w:t>
      </w:r>
      <w:proofErr w:type="spellEnd"/>
      <w:r w:rsidRPr="00FF4016">
        <w:rPr>
          <w:sz w:val="21"/>
        </w:rPr>
        <w:t xml:space="preserve"> proti </w:t>
      </w:r>
      <w:r w:rsidRPr="00FF4016">
        <w:rPr>
          <w:i/>
          <w:iCs/>
          <w:sz w:val="21"/>
        </w:rPr>
        <w:t xml:space="preserve">M. </w:t>
      </w:r>
      <w:proofErr w:type="spellStart"/>
      <w:r w:rsidRPr="00FF4016">
        <w:rPr>
          <w:i/>
          <w:iCs/>
          <w:sz w:val="21"/>
        </w:rPr>
        <w:t>haemolytica</w:t>
      </w:r>
      <w:proofErr w:type="spellEnd"/>
      <w:r w:rsidRPr="00FF4016">
        <w:rPr>
          <w:sz w:val="21"/>
        </w:rPr>
        <w:t xml:space="preserve">, </w:t>
      </w:r>
      <w:r w:rsidRPr="00FF4016">
        <w:rPr>
          <w:i/>
          <w:iCs/>
          <w:sz w:val="21"/>
        </w:rPr>
        <w:t xml:space="preserve">P. </w:t>
      </w:r>
      <w:proofErr w:type="spellStart"/>
      <w:r w:rsidRPr="00FF4016">
        <w:rPr>
          <w:i/>
          <w:iCs/>
          <w:sz w:val="21"/>
        </w:rPr>
        <w:t>multocida</w:t>
      </w:r>
      <w:proofErr w:type="spellEnd"/>
      <w:r w:rsidRPr="00FF4016">
        <w:rPr>
          <w:sz w:val="21"/>
        </w:rPr>
        <w:t xml:space="preserve"> a </w:t>
      </w:r>
      <w:r w:rsidRPr="00FF4016">
        <w:rPr>
          <w:i/>
          <w:iCs/>
          <w:sz w:val="21"/>
        </w:rPr>
        <w:t xml:space="preserve">H. </w:t>
      </w:r>
      <w:proofErr w:type="spellStart"/>
      <w:r w:rsidRPr="00FF4016">
        <w:rPr>
          <w:i/>
          <w:iCs/>
          <w:sz w:val="21"/>
        </w:rPr>
        <w:t>somni</w:t>
      </w:r>
      <w:proofErr w:type="spellEnd"/>
      <w:r w:rsidRPr="00FF4016">
        <w:rPr>
          <w:sz w:val="21"/>
        </w:rPr>
        <w:t xml:space="preserve"> bovinního respiratorního původu a </w:t>
      </w:r>
      <w:r w:rsidRPr="00FF4016">
        <w:rPr>
          <w:i/>
          <w:iCs/>
          <w:sz w:val="21"/>
        </w:rPr>
        <w:t xml:space="preserve">P. </w:t>
      </w:r>
      <w:proofErr w:type="spellStart"/>
      <w:r w:rsidRPr="00FF4016">
        <w:rPr>
          <w:i/>
          <w:iCs/>
          <w:sz w:val="21"/>
        </w:rPr>
        <w:t>multocida</w:t>
      </w:r>
      <w:proofErr w:type="spellEnd"/>
      <w:r w:rsidRPr="00FF4016">
        <w:rPr>
          <w:sz w:val="21"/>
        </w:rPr>
        <w:t xml:space="preserve"> a </w:t>
      </w:r>
      <w:r w:rsidRPr="00FF4016">
        <w:rPr>
          <w:i/>
          <w:iCs/>
          <w:sz w:val="21"/>
        </w:rPr>
        <w:t>B. </w:t>
      </w:r>
      <w:proofErr w:type="spellStart"/>
      <w:r w:rsidRPr="00FF4016">
        <w:rPr>
          <w:i/>
          <w:iCs/>
          <w:sz w:val="21"/>
        </w:rPr>
        <w:t>bronchiseptica</w:t>
      </w:r>
      <w:proofErr w:type="spellEnd"/>
      <w:r w:rsidRPr="00FF4016">
        <w:rPr>
          <w:sz w:val="21"/>
        </w:rPr>
        <w:t xml:space="preserve"> </w:t>
      </w:r>
      <w:proofErr w:type="spellStart"/>
      <w:r w:rsidRPr="00FF4016">
        <w:rPr>
          <w:sz w:val="21"/>
        </w:rPr>
        <w:t>p</w:t>
      </w:r>
      <w:r w:rsidR="00CC4616" w:rsidRPr="00FF4016">
        <w:rPr>
          <w:sz w:val="21"/>
        </w:rPr>
        <w:t>orcinního</w:t>
      </w:r>
      <w:proofErr w:type="spellEnd"/>
      <w:r w:rsidRPr="00FF4016">
        <w:rPr>
          <w:sz w:val="21"/>
        </w:rPr>
        <w:t xml:space="preserve"> respiratorního původu takto: ≤ 16 </w:t>
      </w:r>
      <w:proofErr w:type="spellStart"/>
      <w:r w:rsidRPr="00FF4016">
        <w:rPr>
          <w:sz w:val="21"/>
        </w:rPr>
        <w:t>μg</w:t>
      </w:r>
      <w:proofErr w:type="spellEnd"/>
      <w:r w:rsidRPr="00FF4016">
        <w:rPr>
          <w:sz w:val="21"/>
        </w:rPr>
        <w:t xml:space="preserve">/ml citlivé a ≥ 64 </w:t>
      </w:r>
      <w:proofErr w:type="spellStart"/>
      <w:r w:rsidRPr="00FF4016">
        <w:rPr>
          <w:sz w:val="21"/>
        </w:rPr>
        <w:t>μg</w:t>
      </w:r>
      <w:proofErr w:type="spellEnd"/>
      <w:r w:rsidRPr="00FF4016">
        <w:rPr>
          <w:sz w:val="21"/>
        </w:rPr>
        <w:t>/ml rezistentní. Pro </w:t>
      </w:r>
      <w:r w:rsidRPr="00FF4016">
        <w:rPr>
          <w:i/>
          <w:iCs/>
          <w:sz w:val="21"/>
        </w:rPr>
        <w:t xml:space="preserve">A. </w:t>
      </w:r>
      <w:proofErr w:type="spellStart"/>
      <w:r w:rsidRPr="00FF4016">
        <w:rPr>
          <w:i/>
          <w:iCs/>
          <w:sz w:val="21"/>
        </w:rPr>
        <w:t>pleuropneumoniae</w:t>
      </w:r>
      <w:proofErr w:type="spellEnd"/>
      <w:r w:rsidRPr="00FF4016">
        <w:rPr>
          <w:sz w:val="21"/>
        </w:rPr>
        <w:t xml:space="preserve"> </w:t>
      </w:r>
      <w:proofErr w:type="spellStart"/>
      <w:r w:rsidRPr="00FF4016">
        <w:rPr>
          <w:sz w:val="21"/>
        </w:rPr>
        <w:t>p</w:t>
      </w:r>
      <w:r w:rsidR="00CC4616" w:rsidRPr="00FF4016">
        <w:rPr>
          <w:sz w:val="21"/>
        </w:rPr>
        <w:t>orcinn</w:t>
      </w:r>
      <w:r w:rsidRPr="00FF4016">
        <w:rPr>
          <w:sz w:val="21"/>
        </w:rPr>
        <w:t>ího</w:t>
      </w:r>
      <w:proofErr w:type="spellEnd"/>
      <w:r w:rsidRPr="00FF4016">
        <w:rPr>
          <w:sz w:val="21"/>
        </w:rPr>
        <w:t xml:space="preserve"> respiratorního původu byla stanovena hraniční hodnota citlivosti ≤ 64 µg/ml. CLSI také zveřejnil klinické hraniční hodnoty pro </w:t>
      </w:r>
      <w:proofErr w:type="spellStart"/>
      <w:r w:rsidRPr="00FF4016">
        <w:rPr>
          <w:sz w:val="21"/>
        </w:rPr>
        <w:t>tulathromycin</w:t>
      </w:r>
      <w:proofErr w:type="spellEnd"/>
      <w:r w:rsidRPr="00FF4016">
        <w:rPr>
          <w:sz w:val="21"/>
        </w:rPr>
        <w:t xml:space="preserve"> založené na diskové difúzní metodě (CLSI dokument VET08, 4. vyd., 2018). Pro </w:t>
      </w:r>
      <w:r w:rsidRPr="00FF4016">
        <w:rPr>
          <w:i/>
          <w:iCs/>
          <w:sz w:val="21"/>
        </w:rPr>
        <w:t xml:space="preserve">H. </w:t>
      </w:r>
      <w:proofErr w:type="spellStart"/>
      <w:r w:rsidRPr="00FF4016">
        <w:rPr>
          <w:i/>
          <w:iCs/>
          <w:sz w:val="21"/>
        </w:rPr>
        <w:t>parasuis</w:t>
      </w:r>
      <w:proofErr w:type="spellEnd"/>
      <w:r w:rsidRPr="00FF4016">
        <w:rPr>
          <w:sz w:val="21"/>
        </w:rPr>
        <w:t xml:space="preserve"> nejsou klinické hraniční hodnoty k dispozici. EUCAST ani CLSI nevytvořily standardní metody pro testování účinnosti antibakteriálních látek proti veterinárním druhům bakterií rodu </w:t>
      </w:r>
      <w:proofErr w:type="spellStart"/>
      <w:r w:rsidRPr="00FF4016">
        <w:rPr>
          <w:i/>
          <w:iCs/>
          <w:sz w:val="21"/>
        </w:rPr>
        <w:t>Mycoplasma</w:t>
      </w:r>
      <w:proofErr w:type="spellEnd"/>
      <w:r w:rsidRPr="00FF4016">
        <w:rPr>
          <w:sz w:val="21"/>
        </w:rPr>
        <w:t>, a proto nebyla stanovena žádná interpretační kritéria.</w:t>
      </w:r>
    </w:p>
    <w:p w14:paraId="0616F925" w14:textId="77777777" w:rsidR="009A1A5E" w:rsidRPr="00FF4016" w:rsidRDefault="00D34925" w:rsidP="00D34925">
      <w:pPr>
        <w:pStyle w:val="Zkladntext"/>
        <w:jc w:val="left"/>
        <w:rPr>
          <w:sz w:val="21"/>
        </w:rPr>
      </w:pPr>
      <w:r w:rsidRPr="00FF4016">
        <w:rPr>
          <w:sz w:val="21"/>
        </w:rPr>
        <w:t xml:space="preserve"> </w:t>
      </w:r>
    </w:p>
    <w:p w14:paraId="3A60C59A" w14:textId="58EC8909" w:rsidR="009A1A5E" w:rsidRPr="00FF4016" w:rsidRDefault="00D34925" w:rsidP="00D34925">
      <w:pPr>
        <w:pStyle w:val="Zkladntext"/>
        <w:jc w:val="left"/>
        <w:rPr>
          <w:sz w:val="21"/>
        </w:rPr>
      </w:pPr>
      <w:r w:rsidRPr="00FF4016">
        <w:rPr>
          <w:sz w:val="21"/>
        </w:rPr>
        <w:t xml:space="preserve">Rezistence na </w:t>
      </w:r>
      <w:proofErr w:type="spellStart"/>
      <w:r w:rsidRPr="00FF4016">
        <w:rPr>
          <w:sz w:val="21"/>
        </w:rPr>
        <w:t>makrolidy</w:t>
      </w:r>
      <w:proofErr w:type="spellEnd"/>
      <w:r w:rsidRPr="00FF4016">
        <w:rPr>
          <w:sz w:val="21"/>
        </w:rPr>
        <w:t xml:space="preserve"> se může vyvinout mutacemi genů, které kódují ribozomální RNA (</w:t>
      </w:r>
      <w:proofErr w:type="spellStart"/>
      <w:r w:rsidRPr="00FF4016">
        <w:rPr>
          <w:sz w:val="21"/>
        </w:rPr>
        <w:t>rRNA</w:t>
      </w:r>
      <w:proofErr w:type="spellEnd"/>
      <w:r w:rsidRPr="00FF4016">
        <w:rPr>
          <w:sz w:val="21"/>
        </w:rPr>
        <w:t>), nebo někter</w:t>
      </w:r>
      <w:r w:rsidR="00CC4616" w:rsidRPr="00FF4016">
        <w:rPr>
          <w:sz w:val="21"/>
        </w:rPr>
        <w:t>é</w:t>
      </w:r>
      <w:r w:rsidRPr="00FF4016">
        <w:rPr>
          <w:sz w:val="21"/>
        </w:rPr>
        <w:t xml:space="preserve"> ribozomální protein</w:t>
      </w:r>
      <w:r w:rsidR="00CC4616" w:rsidRPr="00FF4016">
        <w:rPr>
          <w:sz w:val="21"/>
        </w:rPr>
        <w:t>y</w:t>
      </w:r>
      <w:r w:rsidRPr="00FF4016">
        <w:rPr>
          <w:sz w:val="21"/>
        </w:rPr>
        <w:t xml:space="preserve">. A to enzymatickou modifikací (metylací) cílového místa </w:t>
      </w:r>
      <w:proofErr w:type="gramStart"/>
      <w:r w:rsidRPr="00FF4016">
        <w:rPr>
          <w:sz w:val="21"/>
        </w:rPr>
        <w:t>23S</w:t>
      </w:r>
      <w:proofErr w:type="gramEnd"/>
      <w:r w:rsidRPr="00FF4016">
        <w:rPr>
          <w:sz w:val="21"/>
        </w:rPr>
        <w:t xml:space="preserve"> </w:t>
      </w:r>
      <w:proofErr w:type="spellStart"/>
      <w:r w:rsidRPr="00FF4016">
        <w:rPr>
          <w:sz w:val="21"/>
        </w:rPr>
        <w:t>rRNA</w:t>
      </w:r>
      <w:proofErr w:type="spellEnd"/>
      <w:r w:rsidRPr="00FF4016">
        <w:rPr>
          <w:sz w:val="21"/>
        </w:rPr>
        <w:t xml:space="preserve">, obvykle </w:t>
      </w:r>
      <w:r w:rsidR="00CC4616" w:rsidRPr="00FF4016">
        <w:rPr>
          <w:sz w:val="21"/>
        </w:rPr>
        <w:t xml:space="preserve">vyvolávající </w:t>
      </w:r>
      <w:r w:rsidRPr="00FF4016">
        <w:rPr>
          <w:sz w:val="21"/>
        </w:rPr>
        <w:t>zkřížen</w:t>
      </w:r>
      <w:r w:rsidR="00CC4616" w:rsidRPr="00FF4016">
        <w:rPr>
          <w:sz w:val="21"/>
        </w:rPr>
        <w:t>ou</w:t>
      </w:r>
      <w:r w:rsidRPr="00FF4016">
        <w:rPr>
          <w:sz w:val="21"/>
        </w:rPr>
        <w:t xml:space="preserve"> rezistenc</w:t>
      </w:r>
      <w:r w:rsidR="00CC4616" w:rsidRPr="00FF4016">
        <w:rPr>
          <w:sz w:val="21"/>
        </w:rPr>
        <w:t>i</w:t>
      </w:r>
      <w:r w:rsidRPr="00FF4016">
        <w:rPr>
          <w:sz w:val="21"/>
        </w:rPr>
        <w:t xml:space="preserve"> s </w:t>
      </w:r>
      <w:proofErr w:type="spellStart"/>
      <w:r w:rsidRPr="00FF4016">
        <w:rPr>
          <w:sz w:val="21"/>
        </w:rPr>
        <w:t>linkosamidy</w:t>
      </w:r>
      <w:proofErr w:type="spellEnd"/>
      <w:r w:rsidRPr="00FF4016">
        <w:rPr>
          <w:sz w:val="21"/>
        </w:rPr>
        <w:t xml:space="preserve"> a skupinou B </w:t>
      </w:r>
      <w:proofErr w:type="spellStart"/>
      <w:r w:rsidRPr="00FF4016">
        <w:rPr>
          <w:sz w:val="21"/>
        </w:rPr>
        <w:t>streptograminů</w:t>
      </w:r>
      <w:proofErr w:type="spellEnd"/>
      <w:r w:rsidRPr="00FF4016">
        <w:rPr>
          <w:sz w:val="21"/>
        </w:rPr>
        <w:t xml:space="preserve"> (MLS</w:t>
      </w:r>
      <w:r w:rsidRPr="00FF4016">
        <w:rPr>
          <w:sz w:val="21"/>
          <w:vertAlign w:val="subscript"/>
        </w:rPr>
        <w:t>B</w:t>
      </w:r>
      <w:r w:rsidRPr="00FF4016">
        <w:rPr>
          <w:sz w:val="21"/>
        </w:rPr>
        <w:t xml:space="preserve"> rezistence); nebo enzymatickou inaktivací a nebo </w:t>
      </w:r>
      <w:proofErr w:type="spellStart"/>
      <w:r w:rsidRPr="00FF4016">
        <w:rPr>
          <w:sz w:val="21"/>
        </w:rPr>
        <w:t>efluxem</w:t>
      </w:r>
      <w:proofErr w:type="spellEnd"/>
      <w:r w:rsidR="00CC4616" w:rsidRPr="00FF4016">
        <w:rPr>
          <w:sz w:val="21"/>
        </w:rPr>
        <w:t xml:space="preserve"> </w:t>
      </w:r>
      <w:proofErr w:type="spellStart"/>
      <w:r w:rsidR="00CC4616" w:rsidRPr="00FF4016">
        <w:rPr>
          <w:sz w:val="21"/>
        </w:rPr>
        <w:t>makrolidů</w:t>
      </w:r>
      <w:proofErr w:type="spellEnd"/>
      <w:r w:rsidRPr="00FF4016">
        <w:rPr>
          <w:sz w:val="21"/>
        </w:rPr>
        <w:t>. MLS</w:t>
      </w:r>
      <w:r w:rsidRPr="00FF4016">
        <w:rPr>
          <w:sz w:val="21"/>
          <w:vertAlign w:val="subscript"/>
        </w:rPr>
        <w:t>B</w:t>
      </w:r>
      <w:r w:rsidRPr="00FF4016">
        <w:rPr>
          <w:sz w:val="21"/>
        </w:rPr>
        <w:t xml:space="preserve"> rezistence může být </w:t>
      </w:r>
      <w:r w:rsidR="00CC4616" w:rsidRPr="00FF4016">
        <w:rPr>
          <w:sz w:val="21"/>
        </w:rPr>
        <w:t>při</w:t>
      </w:r>
      <w:r w:rsidRPr="00FF4016">
        <w:rPr>
          <w:sz w:val="21"/>
        </w:rPr>
        <w:t xml:space="preserve">rozená nebo získaná. Rezistence může být chromozomální nebo kódována </w:t>
      </w:r>
      <w:proofErr w:type="spellStart"/>
      <w:r w:rsidRPr="00FF4016">
        <w:rPr>
          <w:sz w:val="21"/>
        </w:rPr>
        <w:t>plazmidem</w:t>
      </w:r>
      <w:proofErr w:type="spellEnd"/>
      <w:r w:rsidRPr="00FF4016">
        <w:rPr>
          <w:sz w:val="21"/>
        </w:rPr>
        <w:t xml:space="preserve"> a může být přenosná, pokud je spojena s </w:t>
      </w:r>
      <w:proofErr w:type="spellStart"/>
      <w:r w:rsidRPr="00FF4016">
        <w:rPr>
          <w:sz w:val="21"/>
        </w:rPr>
        <w:t>transpozony</w:t>
      </w:r>
      <w:proofErr w:type="spellEnd"/>
      <w:r w:rsidRPr="00FF4016">
        <w:rPr>
          <w:sz w:val="21"/>
        </w:rPr>
        <w:t xml:space="preserve">, </w:t>
      </w:r>
      <w:proofErr w:type="spellStart"/>
      <w:r w:rsidRPr="00FF4016">
        <w:rPr>
          <w:sz w:val="21"/>
        </w:rPr>
        <w:t>plazmidy</w:t>
      </w:r>
      <w:proofErr w:type="spellEnd"/>
      <w:r w:rsidRPr="00FF4016">
        <w:rPr>
          <w:sz w:val="21"/>
        </w:rPr>
        <w:t xml:space="preserve">, </w:t>
      </w:r>
      <w:proofErr w:type="spellStart"/>
      <w:r w:rsidRPr="00FF4016">
        <w:rPr>
          <w:sz w:val="21"/>
        </w:rPr>
        <w:t>integra</w:t>
      </w:r>
      <w:r w:rsidR="00CC4616" w:rsidRPr="00FF4016">
        <w:rPr>
          <w:sz w:val="21"/>
        </w:rPr>
        <w:t>tivními</w:t>
      </w:r>
      <w:proofErr w:type="spellEnd"/>
      <w:r w:rsidRPr="00FF4016">
        <w:rPr>
          <w:sz w:val="21"/>
        </w:rPr>
        <w:t xml:space="preserve"> a </w:t>
      </w:r>
      <w:proofErr w:type="spellStart"/>
      <w:r w:rsidRPr="00FF4016">
        <w:rPr>
          <w:sz w:val="21"/>
        </w:rPr>
        <w:t>konjuga</w:t>
      </w:r>
      <w:r w:rsidR="00CC4616" w:rsidRPr="00FF4016">
        <w:rPr>
          <w:sz w:val="21"/>
        </w:rPr>
        <w:t>tivními</w:t>
      </w:r>
      <w:proofErr w:type="spellEnd"/>
      <w:r w:rsidRPr="00FF4016">
        <w:rPr>
          <w:sz w:val="21"/>
        </w:rPr>
        <w:t xml:space="preserve"> elementy. Navíc plasticitu genomu </w:t>
      </w:r>
      <w:proofErr w:type="spellStart"/>
      <w:r w:rsidRPr="00FF4016">
        <w:rPr>
          <w:i/>
          <w:iCs/>
          <w:sz w:val="21"/>
        </w:rPr>
        <w:t>Mycoplasma</w:t>
      </w:r>
      <w:proofErr w:type="spellEnd"/>
      <w:r w:rsidRPr="00FF4016">
        <w:rPr>
          <w:sz w:val="21"/>
        </w:rPr>
        <w:t xml:space="preserve"> zvyšuje horizontální transfer velkých fragmentů chromozomů.</w:t>
      </w:r>
    </w:p>
    <w:p w14:paraId="2D897186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0CD4ED96" w14:textId="05521064" w:rsidR="009A1A5E" w:rsidRPr="00FF4016" w:rsidRDefault="00D34925" w:rsidP="00D34925">
      <w:pPr>
        <w:pStyle w:val="Zkladntext"/>
        <w:jc w:val="left"/>
      </w:pPr>
      <w:proofErr w:type="spellStart"/>
      <w:r w:rsidRPr="00FF4016">
        <w:t>Tulathromycin</w:t>
      </w:r>
      <w:proofErr w:type="spellEnd"/>
      <w:r w:rsidRPr="00FF4016">
        <w:t xml:space="preserve"> kromě svých antimikrobních vlastností vykazuje v pokusných studiích také </w:t>
      </w:r>
      <w:proofErr w:type="spellStart"/>
      <w:r w:rsidRPr="00FF4016">
        <w:t>imunomodulační</w:t>
      </w:r>
      <w:proofErr w:type="spellEnd"/>
      <w:r w:rsidRPr="00FF4016">
        <w:t xml:space="preserve"> a protizánětlivý účinek. </w:t>
      </w:r>
      <w:proofErr w:type="spellStart"/>
      <w:r w:rsidRPr="00FF4016">
        <w:t>Tulathromycin</w:t>
      </w:r>
      <w:proofErr w:type="spellEnd"/>
      <w:r w:rsidRPr="00FF4016">
        <w:t xml:space="preserve"> spouští </w:t>
      </w:r>
      <w:proofErr w:type="spellStart"/>
      <w:r w:rsidRPr="00FF4016">
        <w:t>apoptózu</w:t>
      </w:r>
      <w:proofErr w:type="spellEnd"/>
      <w:r w:rsidRPr="00FF4016">
        <w:t xml:space="preserve"> (programovanou buněčnou smrt) v </w:t>
      </w:r>
      <w:proofErr w:type="spellStart"/>
      <w:r w:rsidRPr="00FF4016">
        <w:t>polymorfonukleárních</w:t>
      </w:r>
      <w:proofErr w:type="spellEnd"/>
      <w:r w:rsidRPr="00FF4016">
        <w:t xml:space="preserve"> buňkách (PMN; </w:t>
      </w:r>
      <w:proofErr w:type="spellStart"/>
      <w:r w:rsidRPr="00FF4016">
        <w:t>neutrofily</w:t>
      </w:r>
      <w:proofErr w:type="spellEnd"/>
      <w:r w:rsidRPr="00FF4016">
        <w:t xml:space="preserve">) skotu i prasat a odstranění </w:t>
      </w:r>
      <w:proofErr w:type="spellStart"/>
      <w:r w:rsidRPr="00FF4016">
        <w:t>apoptotických</w:t>
      </w:r>
      <w:proofErr w:type="spellEnd"/>
      <w:r w:rsidRPr="00FF4016">
        <w:t xml:space="preserve"> buněk </w:t>
      </w:r>
      <w:proofErr w:type="spellStart"/>
      <w:r w:rsidRPr="00FF4016">
        <w:t>markrofágy</w:t>
      </w:r>
      <w:proofErr w:type="spellEnd"/>
      <w:r w:rsidRPr="00FF4016">
        <w:t xml:space="preserve">. Snižuje tvorbu prozánětlivých mediátorů </w:t>
      </w:r>
      <w:proofErr w:type="spellStart"/>
      <w:r w:rsidRPr="00FF4016">
        <w:t>leukotrienu</w:t>
      </w:r>
      <w:proofErr w:type="spellEnd"/>
      <w:r w:rsidRPr="00FF4016">
        <w:t xml:space="preserve"> B4 a CXCL-8 a indukuje tvorbu protizánětlivého lipidu </w:t>
      </w:r>
      <w:proofErr w:type="spellStart"/>
      <w:r w:rsidRPr="00FF4016">
        <w:t>lipoxinu</w:t>
      </w:r>
      <w:proofErr w:type="spellEnd"/>
      <w:r w:rsidRPr="00FF4016">
        <w:t xml:space="preserve"> A4 podporujícího hojení zánětu.</w:t>
      </w:r>
    </w:p>
    <w:p w14:paraId="5FAB470B" w14:textId="77777777" w:rsidR="009A1A5E" w:rsidRPr="00FF4016" w:rsidRDefault="009A1A5E" w:rsidP="00D34925">
      <w:pPr>
        <w:pStyle w:val="Zkladntext"/>
        <w:jc w:val="left"/>
      </w:pPr>
    </w:p>
    <w:p w14:paraId="48D149A3" w14:textId="77777777" w:rsidR="009A1A5E" w:rsidRPr="00FF4016" w:rsidRDefault="00D34925" w:rsidP="00D34925">
      <w:pPr>
        <w:pStyle w:val="Style1"/>
        <w:keepNext/>
        <w:keepLines/>
      </w:pPr>
      <w:r w:rsidRPr="00FF4016">
        <w:t>4.3</w:t>
      </w:r>
      <w:r w:rsidRPr="00FF4016">
        <w:tab/>
        <w:t>Farmakokinetika</w:t>
      </w:r>
    </w:p>
    <w:p w14:paraId="2002C77C" w14:textId="77777777" w:rsidR="009A1A5E" w:rsidRPr="00FF4016" w:rsidRDefault="009A1A5E" w:rsidP="00D34925">
      <w:pPr>
        <w:pStyle w:val="Zkladntext"/>
        <w:keepNext/>
        <w:keepLines/>
        <w:jc w:val="left"/>
        <w:rPr>
          <w:b/>
          <w:sz w:val="21"/>
        </w:rPr>
      </w:pPr>
    </w:p>
    <w:p w14:paraId="25ABAEA6" w14:textId="5CE7E4B0" w:rsidR="009A1A5E" w:rsidRPr="00FF4016" w:rsidRDefault="00D34925" w:rsidP="00B10A97">
      <w:pPr>
        <w:pStyle w:val="Zkladntext"/>
        <w:jc w:val="left"/>
      </w:pPr>
      <w:r w:rsidRPr="00FF4016">
        <w:t xml:space="preserve">Farmakokinetický profil </w:t>
      </w:r>
      <w:proofErr w:type="spellStart"/>
      <w:r w:rsidRPr="00FF4016">
        <w:t>tulathromycinu</w:t>
      </w:r>
      <w:proofErr w:type="spellEnd"/>
      <w:r w:rsidRPr="00FF4016">
        <w:t xml:space="preserve"> u skotu po podání jednorázové subkutánní dávky 2,5 mg/kg živé hmotnosti byl charakterizován rychlou a výraznou absorpcí a následně rozsáhlou distribucí a pomalou eliminací. Maximální koncentrace (C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 xml:space="preserve">) v plazmě byla přibližně 0,5 µg/ml; dosažena přibližně za 30 minut po </w:t>
      </w:r>
      <w:r w:rsidR="00CC4616" w:rsidRPr="00FF4016">
        <w:t>podání</w:t>
      </w:r>
      <w:r w:rsidRPr="00FF4016">
        <w:t xml:space="preserve"> dávky (T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 xml:space="preserve">). Koncentrace </w:t>
      </w:r>
      <w:proofErr w:type="spellStart"/>
      <w:r w:rsidRPr="00FF4016">
        <w:t>tulathromycinu</w:t>
      </w:r>
      <w:proofErr w:type="spellEnd"/>
      <w:r w:rsidRPr="00FF4016">
        <w:t xml:space="preserve"> v plicním </w:t>
      </w:r>
      <w:proofErr w:type="spellStart"/>
      <w:r w:rsidRPr="00FF4016">
        <w:t>homogenátu</w:t>
      </w:r>
      <w:proofErr w:type="spellEnd"/>
      <w:r w:rsidRPr="00FF4016">
        <w:t xml:space="preserve"> byly podstatně vyšší než v plazmě. Existují jasné důkazy o významné akumulaci </w:t>
      </w:r>
      <w:proofErr w:type="spellStart"/>
      <w:r w:rsidRPr="00FF4016">
        <w:t>tulathromycinu</w:t>
      </w:r>
      <w:proofErr w:type="spellEnd"/>
      <w:r w:rsidRPr="00FF4016">
        <w:t xml:space="preserve"> </w:t>
      </w:r>
      <w:r w:rsidRPr="00FF4016">
        <w:lastRenderedPageBreak/>
        <w:t>v </w:t>
      </w:r>
      <w:proofErr w:type="spellStart"/>
      <w:r w:rsidRPr="00FF4016">
        <w:t>neutrofilech</w:t>
      </w:r>
      <w:proofErr w:type="spellEnd"/>
      <w:r w:rsidRPr="00FF4016">
        <w:t xml:space="preserve"> a alveolárních makrofázích. Avšak </w:t>
      </w:r>
      <w:r w:rsidRPr="00FF4016">
        <w:rPr>
          <w:i/>
        </w:rPr>
        <w:t xml:space="preserve">in </w:t>
      </w:r>
      <w:proofErr w:type="spellStart"/>
      <w:r w:rsidRPr="00FF4016">
        <w:rPr>
          <w:i/>
        </w:rPr>
        <w:t>vivo</w:t>
      </w:r>
      <w:proofErr w:type="spellEnd"/>
      <w:r w:rsidRPr="00FF4016">
        <w:rPr>
          <w:i/>
        </w:rPr>
        <w:t xml:space="preserve"> </w:t>
      </w:r>
      <w:r w:rsidRPr="00FF4016">
        <w:t xml:space="preserve">koncentrace </w:t>
      </w:r>
      <w:proofErr w:type="spellStart"/>
      <w:r w:rsidRPr="00FF4016">
        <w:t>tulathromycinu</w:t>
      </w:r>
      <w:proofErr w:type="spellEnd"/>
      <w:r w:rsidRPr="00FF4016">
        <w:t xml:space="preserve"> v místě infekce plic není známa. Maximální koncentrace byly následovány pomalým systémovým poklesem s biologickým poločasem eliminace (t</w:t>
      </w:r>
      <w:r w:rsidRPr="00FF4016">
        <w:rPr>
          <w:position w:val="-1"/>
          <w:sz w:val="14"/>
        </w:rPr>
        <w:t>1/2</w:t>
      </w:r>
      <w:r w:rsidRPr="00FF4016">
        <w:t>) v plazmě 90 hodin. Vazba na plazmatické bílkoviny byla nízká, přibližně 40 %. Distribuční objem v ustáleném stavu (V</w:t>
      </w:r>
      <w:proofErr w:type="spellStart"/>
      <w:r w:rsidRPr="00FF4016">
        <w:rPr>
          <w:position w:val="-1"/>
          <w:sz w:val="14"/>
        </w:rPr>
        <w:t>ss</w:t>
      </w:r>
      <w:proofErr w:type="spellEnd"/>
      <w:r w:rsidRPr="00FF4016">
        <w:t>) stanovený po intravenózní</w:t>
      </w:r>
      <w:r w:rsidR="00537D4E" w:rsidRPr="00FF4016">
        <w:t>m podání</w:t>
      </w:r>
      <w:r w:rsidRPr="00FF4016">
        <w:t xml:space="preserve"> byl 11 l/kg. Biologická dostupnost </w:t>
      </w:r>
      <w:proofErr w:type="spellStart"/>
      <w:r w:rsidRPr="00FF4016">
        <w:t>tulathromycinu</w:t>
      </w:r>
      <w:proofErr w:type="spellEnd"/>
      <w:r w:rsidRPr="00FF4016">
        <w:t xml:space="preserve"> po subkutánní</w:t>
      </w:r>
      <w:r w:rsidR="00537D4E" w:rsidRPr="00FF4016">
        <w:t>m podání</w:t>
      </w:r>
      <w:r w:rsidRPr="00FF4016">
        <w:t xml:space="preserve"> u skotu byla přibližně 90</w:t>
      </w:r>
      <w:r w:rsidR="00537D4E" w:rsidRPr="00FF4016">
        <w:t xml:space="preserve"> </w:t>
      </w:r>
      <w:r w:rsidRPr="00FF4016">
        <w:t>%.</w:t>
      </w:r>
    </w:p>
    <w:p w14:paraId="4657DE89" w14:textId="77777777" w:rsidR="009A1A5E" w:rsidRPr="00FF4016" w:rsidRDefault="009A1A5E" w:rsidP="00D34925">
      <w:pPr>
        <w:pStyle w:val="Zkladntext"/>
        <w:jc w:val="left"/>
      </w:pPr>
    </w:p>
    <w:p w14:paraId="34010B82" w14:textId="5578BBC0" w:rsidR="009A1A5E" w:rsidRPr="00FF4016" w:rsidRDefault="00D34925" w:rsidP="008457AD">
      <w:pPr>
        <w:pStyle w:val="Zkladntext"/>
        <w:jc w:val="left"/>
      </w:pPr>
      <w:r w:rsidRPr="00FF4016">
        <w:t xml:space="preserve">Farmakokinetický profil </w:t>
      </w:r>
      <w:proofErr w:type="spellStart"/>
      <w:r w:rsidRPr="00FF4016">
        <w:t>tulathromycinu</w:t>
      </w:r>
      <w:proofErr w:type="spellEnd"/>
      <w:r w:rsidRPr="00FF4016">
        <w:t xml:space="preserve"> u prasat po podání jednorázové intramuskulární dávky 2,5 mg/kg živé hmotnosti byl taktéž charakterizován rychlou a výraznou absorpcí a následně rozsáhlou distribucí a pomalou eliminací. Maximální koncentrace (C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 xml:space="preserve">) v plazmě byla přibližně 0,6 µg/ml; dosažena přibližně za 30 minut po </w:t>
      </w:r>
      <w:r w:rsidR="00537D4E" w:rsidRPr="00FF4016">
        <w:t xml:space="preserve">podání </w:t>
      </w:r>
      <w:r w:rsidRPr="00FF4016">
        <w:t>dávky (T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 xml:space="preserve">). Koncentrace </w:t>
      </w:r>
      <w:proofErr w:type="spellStart"/>
      <w:r w:rsidRPr="00FF4016">
        <w:t>tulathromycinu</w:t>
      </w:r>
      <w:proofErr w:type="spellEnd"/>
      <w:r w:rsidRPr="00FF4016">
        <w:t xml:space="preserve"> v plicním </w:t>
      </w:r>
      <w:proofErr w:type="spellStart"/>
      <w:r w:rsidRPr="00FF4016">
        <w:t>homogenátu</w:t>
      </w:r>
      <w:proofErr w:type="spellEnd"/>
      <w:r w:rsidRPr="00FF4016">
        <w:t xml:space="preserve"> byly podstatně vyšší než v plazmě. Existují jasné důkazy o významné akumulaci </w:t>
      </w:r>
      <w:proofErr w:type="spellStart"/>
      <w:r w:rsidRPr="00FF4016">
        <w:t>tulathromycinu</w:t>
      </w:r>
      <w:proofErr w:type="spellEnd"/>
      <w:r w:rsidRPr="00FF4016">
        <w:t xml:space="preserve"> v </w:t>
      </w:r>
      <w:proofErr w:type="spellStart"/>
      <w:r w:rsidRPr="00FF4016">
        <w:t>neutrofilech</w:t>
      </w:r>
      <w:proofErr w:type="spellEnd"/>
      <w:r w:rsidRPr="00FF4016">
        <w:t xml:space="preserve"> a alveolárních makrofázích. Avšak </w:t>
      </w:r>
      <w:r w:rsidRPr="00FF4016">
        <w:rPr>
          <w:i/>
        </w:rPr>
        <w:t xml:space="preserve">in </w:t>
      </w:r>
      <w:proofErr w:type="spellStart"/>
      <w:r w:rsidRPr="00FF4016">
        <w:rPr>
          <w:i/>
        </w:rPr>
        <w:t>vivo</w:t>
      </w:r>
      <w:proofErr w:type="spellEnd"/>
      <w:r w:rsidRPr="00FF4016">
        <w:rPr>
          <w:i/>
        </w:rPr>
        <w:t xml:space="preserve"> </w:t>
      </w:r>
      <w:r w:rsidRPr="00FF4016">
        <w:t xml:space="preserve">koncentrace </w:t>
      </w:r>
      <w:proofErr w:type="spellStart"/>
      <w:r w:rsidRPr="00FF4016">
        <w:t>tulathromycinu</w:t>
      </w:r>
      <w:proofErr w:type="spellEnd"/>
      <w:r w:rsidRPr="00FF4016">
        <w:t xml:space="preserve"> v místě infekce plic není známa. Maximální koncentrace byly následovány pomalým systémovým poklesem s biologickým poločasem eliminace (t</w:t>
      </w:r>
      <w:r w:rsidRPr="00FF4016">
        <w:rPr>
          <w:position w:val="-1"/>
          <w:sz w:val="14"/>
        </w:rPr>
        <w:t>1/2</w:t>
      </w:r>
      <w:r w:rsidRPr="00FF4016">
        <w:t>) v plazmě 91 hodin. Vazba na plazmatické bílkoviny byla nízká, přibližně 40 %. Distribuční objem v ustáleném stavu (V</w:t>
      </w:r>
      <w:proofErr w:type="spellStart"/>
      <w:r w:rsidRPr="00FF4016">
        <w:rPr>
          <w:position w:val="-1"/>
          <w:sz w:val="14"/>
        </w:rPr>
        <w:t>ss</w:t>
      </w:r>
      <w:proofErr w:type="spellEnd"/>
      <w:r w:rsidRPr="00FF4016">
        <w:t>) stanovený po intravenózní</w:t>
      </w:r>
      <w:r w:rsidR="00537D4E" w:rsidRPr="00FF4016">
        <w:t>m podání</w:t>
      </w:r>
      <w:r w:rsidRPr="00FF4016">
        <w:t xml:space="preserve"> byl 13,2 l/kg. Biologická dostupnost </w:t>
      </w:r>
      <w:proofErr w:type="spellStart"/>
      <w:r w:rsidRPr="00FF4016">
        <w:t>tulathromycinu</w:t>
      </w:r>
      <w:proofErr w:type="spellEnd"/>
      <w:r w:rsidRPr="00FF4016">
        <w:t xml:space="preserve"> po intramuskulární</w:t>
      </w:r>
      <w:r w:rsidR="00537D4E" w:rsidRPr="00FF4016">
        <w:t>m</w:t>
      </w:r>
      <w:r w:rsidRPr="00FF4016">
        <w:t xml:space="preserve"> </w:t>
      </w:r>
      <w:r w:rsidR="00537D4E" w:rsidRPr="00FF4016">
        <w:t>podání</w:t>
      </w:r>
      <w:r w:rsidRPr="00FF4016">
        <w:t xml:space="preserve"> u prasat byla přibližně 88</w:t>
      </w:r>
      <w:r w:rsidR="00537D4E" w:rsidRPr="00FF4016">
        <w:t xml:space="preserve"> </w:t>
      </w:r>
      <w:r w:rsidRPr="00FF4016">
        <w:t>%.</w:t>
      </w:r>
    </w:p>
    <w:p w14:paraId="2723369F" w14:textId="77777777" w:rsidR="009A1A5E" w:rsidRPr="00FF4016" w:rsidRDefault="009A1A5E" w:rsidP="00D34925">
      <w:pPr>
        <w:pStyle w:val="Zkladntext"/>
        <w:jc w:val="left"/>
      </w:pPr>
    </w:p>
    <w:p w14:paraId="0CF334AD" w14:textId="77777777" w:rsidR="009A1A5E" w:rsidRPr="00FF4016" w:rsidRDefault="00D34925" w:rsidP="00D34925">
      <w:pPr>
        <w:pStyle w:val="Zkladntext"/>
        <w:jc w:val="left"/>
      </w:pPr>
      <w:r w:rsidRPr="00FF4016">
        <w:t xml:space="preserve">Farmakokinetický profil </w:t>
      </w:r>
      <w:proofErr w:type="spellStart"/>
      <w:r w:rsidRPr="00FF4016">
        <w:t>tulathromycinu</w:t>
      </w:r>
      <w:proofErr w:type="spellEnd"/>
      <w:r w:rsidRPr="00FF4016">
        <w:t xml:space="preserve"> u ovcí po podání jednorázové intramuskulární dávky 2,5 mg/kg živé hmotnosti dosáhl maximální koncentrace v plazmě (C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>) 1,19 µg/ml přibližně za 15 minut (T</w:t>
      </w:r>
      <w:proofErr w:type="spellStart"/>
      <w:r w:rsidRPr="00FF4016">
        <w:rPr>
          <w:position w:val="-1"/>
          <w:sz w:val="14"/>
        </w:rPr>
        <w:t>max</w:t>
      </w:r>
      <w:proofErr w:type="spellEnd"/>
      <w:r w:rsidRPr="00FF4016">
        <w:t>) po podání a jeho biologický poločas eliminace (t</w:t>
      </w:r>
      <w:r w:rsidRPr="00FF4016">
        <w:rPr>
          <w:position w:val="-1"/>
          <w:sz w:val="14"/>
        </w:rPr>
        <w:t>1/2</w:t>
      </w:r>
      <w:r w:rsidRPr="00FF4016">
        <w:t>) byl 69,7 hodiny. Vazba na plazmatické bílkoviny byla zhruba 60–75 %. Po intravenózním podání byl distribuční objem v ustáleném stavu (V</w:t>
      </w:r>
      <w:proofErr w:type="spellStart"/>
      <w:r w:rsidRPr="00FF4016">
        <w:rPr>
          <w:position w:val="-1"/>
          <w:sz w:val="14"/>
        </w:rPr>
        <w:t>ss</w:t>
      </w:r>
      <w:proofErr w:type="spellEnd"/>
      <w:r w:rsidRPr="00FF4016">
        <w:t xml:space="preserve">) 31,7 l/kg. Biologická dostupnost </w:t>
      </w:r>
      <w:proofErr w:type="spellStart"/>
      <w:r w:rsidRPr="00FF4016">
        <w:t>tulathromycinu</w:t>
      </w:r>
      <w:proofErr w:type="spellEnd"/>
      <w:r w:rsidRPr="00FF4016">
        <w:t xml:space="preserve"> po intramuskulárním podání byla u ovcí 100 %.</w:t>
      </w:r>
    </w:p>
    <w:p w14:paraId="69388C30" w14:textId="77777777" w:rsidR="009A1A5E" w:rsidRPr="00FF4016" w:rsidRDefault="009A1A5E" w:rsidP="00D34925">
      <w:pPr>
        <w:pStyle w:val="Zkladntext"/>
        <w:jc w:val="left"/>
        <w:rPr>
          <w:sz w:val="24"/>
        </w:rPr>
      </w:pPr>
    </w:p>
    <w:p w14:paraId="3967083F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0B42790" w14:textId="77777777" w:rsidR="009A1A5E" w:rsidRPr="00FF4016" w:rsidRDefault="00D34925" w:rsidP="00D34925">
      <w:pPr>
        <w:pStyle w:val="Style1"/>
      </w:pPr>
      <w:r w:rsidRPr="00FF4016">
        <w:t>5.</w:t>
      </w:r>
      <w:r w:rsidRPr="00FF4016">
        <w:tab/>
        <w:t>FARMACEUTICKÉ ÚDAJE</w:t>
      </w:r>
    </w:p>
    <w:p w14:paraId="5A5E8E8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88E1133" w14:textId="77777777" w:rsidR="009A1A5E" w:rsidRPr="00FF4016" w:rsidRDefault="00D34925" w:rsidP="00D34925">
      <w:pPr>
        <w:pStyle w:val="Style1"/>
      </w:pPr>
      <w:r w:rsidRPr="00FF4016">
        <w:t>5.1</w:t>
      </w:r>
      <w:r w:rsidRPr="00FF4016">
        <w:tab/>
        <w:t>Hlavní inkompatibility</w:t>
      </w:r>
    </w:p>
    <w:p w14:paraId="7D36DB04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3C7D34A5" w14:textId="77777777" w:rsidR="009A1A5E" w:rsidRPr="00FF4016" w:rsidRDefault="00D34925" w:rsidP="00D34925">
      <w:pPr>
        <w:pStyle w:val="Zkladntext"/>
        <w:jc w:val="left"/>
      </w:pPr>
      <w:r w:rsidRPr="00FF4016">
        <w:t>Studie kompatibility nejsou k dispozici, a proto tento veterinární léčivý přípravek nesmí být mísen s žádnými dalšími veterinárními léčivými přípravky.</w:t>
      </w:r>
    </w:p>
    <w:p w14:paraId="2A597216" w14:textId="77777777" w:rsidR="009A1A5E" w:rsidRPr="00FF4016" w:rsidRDefault="009A1A5E" w:rsidP="00D34925">
      <w:pPr>
        <w:pStyle w:val="Zkladntext"/>
        <w:jc w:val="left"/>
      </w:pPr>
    </w:p>
    <w:p w14:paraId="447A8F28" w14:textId="77777777" w:rsidR="009A1A5E" w:rsidRPr="00FF4016" w:rsidRDefault="00D34925" w:rsidP="00D34925">
      <w:pPr>
        <w:pStyle w:val="Style1"/>
      </w:pPr>
      <w:r w:rsidRPr="00FF4016">
        <w:t>5.2</w:t>
      </w:r>
      <w:r w:rsidRPr="00FF4016">
        <w:tab/>
        <w:t>Doba použitelnosti</w:t>
      </w:r>
    </w:p>
    <w:p w14:paraId="2CD2D137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2EB10319" w14:textId="77777777" w:rsidR="009A1A5E" w:rsidRPr="00FF4016" w:rsidRDefault="00D34925" w:rsidP="00D34925">
      <w:pPr>
        <w:pStyle w:val="Zkladntext"/>
        <w:jc w:val="left"/>
      </w:pPr>
      <w:r w:rsidRPr="00FF4016">
        <w:t>Doba použitelnosti veterinárního léčivého přípravku v neporušeném obalu: 30 měsíců.</w:t>
      </w:r>
    </w:p>
    <w:p w14:paraId="57D0A0EF" w14:textId="77777777" w:rsidR="009A1A5E" w:rsidRPr="00FF4016" w:rsidRDefault="00D34925" w:rsidP="00D34925">
      <w:pPr>
        <w:pStyle w:val="Zkladntext"/>
        <w:jc w:val="left"/>
      </w:pPr>
      <w:r w:rsidRPr="00FF4016">
        <w:t>Doba použitelnosti po prvním otevření vnitřního obalu: 28 dní.</w:t>
      </w:r>
    </w:p>
    <w:p w14:paraId="79BADC45" w14:textId="77777777" w:rsidR="009A1A5E" w:rsidRPr="00FF4016" w:rsidRDefault="009A1A5E" w:rsidP="00D34925">
      <w:pPr>
        <w:pStyle w:val="Zkladntext"/>
        <w:jc w:val="left"/>
        <w:rPr>
          <w:sz w:val="21"/>
        </w:rPr>
      </w:pPr>
    </w:p>
    <w:p w14:paraId="10A12F0B" w14:textId="77777777" w:rsidR="009A1A5E" w:rsidRPr="00FF4016" w:rsidRDefault="00D34925" w:rsidP="00D34925">
      <w:pPr>
        <w:pStyle w:val="Style1"/>
      </w:pPr>
      <w:r w:rsidRPr="00FF4016">
        <w:t>5.3</w:t>
      </w:r>
      <w:r w:rsidRPr="00FF4016">
        <w:tab/>
        <w:t>Zvláštní opatření pro uchovávání</w:t>
      </w:r>
    </w:p>
    <w:p w14:paraId="129662BC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2E568071" w14:textId="77777777" w:rsidR="009A1A5E" w:rsidRPr="00FF4016" w:rsidRDefault="00D34925" w:rsidP="00D34925">
      <w:pPr>
        <w:pStyle w:val="Zkladntext"/>
        <w:jc w:val="left"/>
      </w:pPr>
      <w:r w:rsidRPr="00FF4016">
        <w:t>Tento veterinární léčivý přípravek nevyžaduje žádné zvláštní podmínky uchovávání.</w:t>
      </w:r>
    </w:p>
    <w:p w14:paraId="478A4717" w14:textId="77777777" w:rsidR="009A1A5E" w:rsidRPr="00FF4016" w:rsidRDefault="009A1A5E" w:rsidP="00D34925">
      <w:pPr>
        <w:pStyle w:val="Zkladntext"/>
        <w:jc w:val="left"/>
      </w:pPr>
    </w:p>
    <w:p w14:paraId="1ED6279B" w14:textId="77777777" w:rsidR="009A1A5E" w:rsidRPr="00FF4016" w:rsidRDefault="00D34925" w:rsidP="00D34925">
      <w:pPr>
        <w:pStyle w:val="Style1"/>
      </w:pPr>
      <w:r w:rsidRPr="00FF4016">
        <w:t>5.4</w:t>
      </w:r>
      <w:r w:rsidRPr="00FF4016">
        <w:tab/>
        <w:t>Druh a složení vnitřního obalu</w:t>
      </w:r>
    </w:p>
    <w:p w14:paraId="18BA2E84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39974330" w14:textId="13C78B4C" w:rsidR="009A1A5E" w:rsidRPr="00FF4016" w:rsidRDefault="00D34925" w:rsidP="00D34925">
      <w:pPr>
        <w:adjustRightInd w:val="0"/>
        <w:spacing w:line="240" w:lineRule="auto"/>
        <w:rPr>
          <w:lang w:eastAsia="es-ES" w:bidi="he-IL"/>
        </w:rPr>
      </w:pPr>
      <w:r w:rsidRPr="00FF4016">
        <w:t xml:space="preserve">Bezbarvé skleněné injekční lahvičky typu </w:t>
      </w:r>
      <w:proofErr w:type="gramStart"/>
      <w:r w:rsidRPr="00FF4016">
        <w:t>I</w:t>
      </w:r>
      <w:proofErr w:type="gramEnd"/>
      <w:r w:rsidRPr="00FF4016">
        <w:t xml:space="preserve"> s </w:t>
      </w:r>
      <w:proofErr w:type="spellStart"/>
      <w:r w:rsidRPr="00FF4016">
        <w:t>chlorbutylovou</w:t>
      </w:r>
      <w:proofErr w:type="spellEnd"/>
      <w:r w:rsidRPr="00FF4016">
        <w:t xml:space="preserve"> pryžovou zátkou pokrytou </w:t>
      </w:r>
      <w:proofErr w:type="spellStart"/>
      <w:r w:rsidRPr="00FF4016">
        <w:t>fluoropolymerem</w:t>
      </w:r>
      <w:proofErr w:type="spellEnd"/>
      <w:r w:rsidRPr="00FF4016">
        <w:t xml:space="preserve"> a hliníkovým uzávěrem.</w:t>
      </w:r>
    </w:p>
    <w:p w14:paraId="7AF95BFB" w14:textId="77777777" w:rsidR="009A1A5E" w:rsidRPr="00FF4016" w:rsidRDefault="009A1A5E" w:rsidP="00D34925">
      <w:pPr>
        <w:pStyle w:val="Zkladntext"/>
        <w:jc w:val="left"/>
        <w:rPr>
          <w:b/>
          <w:sz w:val="21"/>
        </w:rPr>
      </w:pPr>
    </w:p>
    <w:p w14:paraId="4B4A9A54" w14:textId="77777777" w:rsidR="009A1A5E" w:rsidRPr="00FF4016" w:rsidRDefault="00D34925" w:rsidP="00D34925">
      <w:pPr>
        <w:pStyle w:val="Zkladntext"/>
        <w:jc w:val="left"/>
        <w:rPr>
          <w:u w:val="single"/>
        </w:rPr>
      </w:pPr>
      <w:r w:rsidRPr="00FF4016">
        <w:rPr>
          <w:u w:val="single"/>
        </w:rPr>
        <w:t>Velikosti balení:</w:t>
      </w:r>
    </w:p>
    <w:p w14:paraId="080F62F5" w14:textId="77777777" w:rsidR="009A1A5E" w:rsidRPr="00FF4016" w:rsidRDefault="009A1A5E" w:rsidP="00D34925">
      <w:pPr>
        <w:pStyle w:val="Zkladntext"/>
        <w:jc w:val="left"/>
        <w:rPr>
          <w:u w:val="single"/>
        </w:rPr>
      </w:pPr>
    </w:p>
    <w:p w14:paraId="51540DB2" w14:textId="77777777" w:rsidR="009A1A5E" w:rsidRPr="00FF4016" w:rsidRDefault="00D34925" w:rsidP="00D34925">
      <w:pPr>
        <w:pStyle w:val="Zkladntext"/>
        <w:jc w:val="left"/>
      </w:pPr>
      <w:r w:rsidRPr="00FF4016">
        <w:t>Papírová krabička obsahující 1 injekční lahvičku se 100 ml přípravku.</w:t>
      </w:r>
    </w:p>
    <w:p w14:paraId="209E4473" w14:textId="77777777" w:rsidR="009A1A5E" w:rsidRPr="00FF4016" w:rsidRDefault="00D34925" w:rsidP="00D34925">
      <w:pPr>
        <w:pStyle w:val="Zkladntext"/>
        <w:jc w:val="left"/>
      </w:pPr>
      <w:r w:rsidRPr="00FF4016">
        <w:t>Papírová krabička obsahující 1 injekční lahvičku s 250 ml přípravku.</w:t>
      </w:r>
    </w:p>
    <w:p w14:paraId="72B4C0FF" w14:textId="77777777" w:rsidR="009A1A5E" w:rsidRPr="00FF4016" w:rsidRDefault="009A1A5E" w:rsidP="00D34925">
      <w:pPr>
        <w:pStyle w:val="Zkladntext"/>
        <w:jc w:val="left"/>
      </w:pPr>
    </w:p>
    <w:p w14:paraId="1B5CF2F2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>Na trhu nemusí být všechny velikosti balení.</w:t>
      </w:r>
    </w:p>
    <w:p w14:paraId="57E0EE93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B2D743C" w14:textId="77777777" w:rsidR="009A1A5E" w:rsidRPr="00FF4016" w:rsidRDefault="00D34925" w:rsidP="00B10A97">
      <w:pPr>
        <w:pStyle w:val="Style1"/>
        <w:keepNext/>
      </w:pPr>
      <w:r w:rsidRPr="00FF4016">
        <w:lastRenderedPageBreak/>
        <w:t>5.5</w:t>
      </w:r>
      <w:r w:rsidRPr="00FF4016">
        <w:tab/>
        <w:t>Zvláštní opatření pro likvidaci nepoužitých veterinárních léčivých přípravků nebo odpadů, které pochází z těchto přípravků</w:t>
      </w:r>
    </w:p>
    <w:p w14:paraId="49D12525" w14:textId="77777777" w:rsidR="009A1A5E" w:rsidRPr="00FF4016" w:rsidRDefault="009A1A5E" w:rsidP="00B10A9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8AE650" w14:textId="77777777" w:rsidR="009A1A5E" w:rsidRPr="00FF4016" w:rsidRDefault="00D34925" w:rsidP="00D34925">
      <w:pPr>
        <w:spacing w:line="240" w:lineRule="auto"/>
        <w:rPr>
          <w:szCs w:val="22"/>
        </w:rPr>
      </w:pPr>
      <w:r w:rsidRPr="00FF4016">
        <w:t>Léčivé přípravky se nesmí likvidovat prostřednictvím odpadní vody či domovního odpadu.</w:t>
      </w:r>
    </w:p>
    <w:p w14:paraId="26B27E27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89E7802" w14:textId="77777777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26EB666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C584072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0AD23A3" w14:textId="77777777" w:rsidR="009A1A5E" w:rsidRPr="00FF4016" w:rsidRDefault="00D34925" w:rsidP="00D34925">
      <w:pPr>
        <w:pStyle w:val="Style1"/>
        <w:keepNext/>
      </w:pPr>
      <w:r w:rsidRPr="00FF4016">
        <w:t>6.</w:t>
      </w:r>
      <w:r w:rsidRPr="00FF4016">
        <w:tab/>
        <w:t>JMÉNO DRŽITELE ROZHODNUTÍ O REGISTRACI</w:t>
      </w:r>
    </w:p>
    <w:p w14:paraId="3D3D1655" w14:textId="77777777" w:rsidR="009A1A5E" w:rsidRPr="00FF4016" w:rsidRDefault="009A1A5E" w:rsidP="00D349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83BEF" w14:textId="7325DCF3" w:rsidR="00F34194" w:rsidRPr="00FF4016" w:rsidRDefault="00D34925" w:rsidP="008457AD">
      <w:pPr>
        <w:tabs>
          <w:tab w:val="clear" w:pos="567"/>
        </w:tabs>
        <w:spacing w:line="240" w:lineRule="auto"/>
      </w:pPr>
      <w:proofErr w:type="spellStart"/>
      <w:r w:rsidRPr="00FF4016">
        <w:rPr>
          <w:szCs w:val="22"/>
        </w:rPr>
        <w:t>Laboratorios</w:t>
      </w:r>
      <w:proofErr w:type="spellEnd"/>
      <w:r w:rsidRPr="00FF4016">
        <w:rPr>
          <w:szCs w:val="22"/>
        </w:rPr>
        <w:t xml:space="preserve"> SYVA S.A.</w:t>
      </w:r>
      <w:r w:rsidR="00F34194" w:rsidRPr="00FF4016" w:rsidDel="00F34194">
        <w:rPr>
          <w:szCs w:val="22"/>
        </w:rPr>
        <w:t xml:space="preserve"> </w:t>
      </w:r>
    </w:p>
    <w:p w14:paraId="55DB4050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73F0D9C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8F9FDA1" w14:textId="77777777" w:rsidR="009A1A5E" w:rsidRPr="00FF4016" w:rsidRDefault="00D34925" w:rsidP="00D34925">
      <w:pPr>
        <w:pStyle w:val="Style1"/>
      </w:pPr>
      <w:r w:rsidRPr="00FF4016">
        <w:t>7.</w:t>
      </w:r>
      <w:r w:rsidRPr="00FF4016">
        <w:tab/>
        <w:t>REGISTRAČNÍ ČÍSLO(A)</w:t>
      </w:r>
    </w:p>
    <w:p w14:paraId="1983C8CE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FBB4CF7" w14:textId="77777777" w:rsidR="009A1A5E" w:rsidRPr="00FF4016" w:rsidRDefault="00D34925" w:rsidP="00D34925">
      <w:pPr>
        <w:pStyle w:val="Zkladntext"/>
        <w:jc w:val="left"/>
      </w:pPr>
      <w:r w:rsidRPr="00FF4016">
        <w:t>96/021/</w:t>
      </w:r>
      <w:proofErr w:type="gramStart"/>
      <w:r w:rsidRPr="00FF4016">
        <w:t>21-C</w:t>
      </w:r>
      <w:proofErr w:type="gramEnd"/>
    </w:p>
    <w:p w14:paraId="7F84A087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E0F648A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F90C199" w14:textId="77777777" w:rsidR="009A1A5E" w:rsidRPr="00FF4016" w:rsidRDefault="00D34925" w:rsidP="00D34925">
      <w:pPr>
        <w:pStyle w:val="Style1"/>
      </w:pPr>
      <w:r w:rsidRPr="00FF4016">
        <w:t>8.</w:t>
      </w:r>
      <w:r w:rsidRPr="00FF4016">
        <w:tab/>
        <w:t>DATUM PRVNÍ REGISTRACE</w:t>
      </w:r>
    </w:p>
    <w:p w14:paraId="7F5FDEA6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BED7EDE" w14:textId="4ECFA2A4" w:rsidR="009A1A5E" w:rsidRPr="00FF4016" w:rsidRDefault="00D34925" w:rsidP="00D34925">
      <w:pPr>
        <w:tabs>
          <w:tab w:val="clear" w:pos="567"/>
        </w:tabs>
        <w:spacing w:line="240" w:lineRule="auto"/>
        <w:rPr>
          <w:szCs w:val="22"/>
        </w:rPr>
      </w:pPr>
      <w:r w:rsidRPr="00FF4016">
        <w:t>Datum první registrace: 14</w:t>
      </w:r>
      <w:r w:rsidR="001E5CE2" w:rsidRPr="00FF4016">
        <w:t>/0</w:t>
      </w:r>
      <w:r w:rsidRPr="00FF4016">
        <w:t>4</w:t>
      </w:r>
      <w:r w:rsidR="001E5CE2" w:rsidRPr="00FF4016">
        <w:t>/</w:t>
      </w:r>
      <w:r w:rsidRPr="00FF4016">
        <w:t xml:space="preserve"> 2021.</w:t>
      </w:r>
    </w:p>
    <w:p w14:paraId="0128C82B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493D1F8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5EAE15A" w14:textId="77777777" w:rsidR="009A1A5E" w:rsidRPr="00FF4016" w:rsidRDefault="00D34925" w:rsidP="00D34925">
      <w:pPr>
        <w:pStyle w:val="Style1"/>
      </w:pPr>
      <w:r w:rsidRPr="00FF4016">
        <w:t>9.</w:t>
      </w:r>
      <w:r w:rsidRPr="00FF4016">
        <w:tab/>
        <w:t>DATUM POSLEDNÍ AKTUALIZACE SOUHRNU ÚDAJŮ O PŘÍPRAVKU</w:t>
      </w:r>
    </w:p>
    <w:p w14:paraId="1ED3F8E6" w14:textId="77777777" w:rsidR="009A1A5E" w:rsidRPr="00FF4016" w:rsidRDefault="009A1A5E" w:rsidP="00D34925">
      <w:pPr>
        <w:pStyle w:val="Zkladntext"/>
        <w:jc w:val="left"/>
      </w:pPr>
    </w:p>
    <w:p w14:paraId="45005E6B" w14:textId="10F0B51F" w:rsidR="009A1A5E" w:rsidRPr="00FF4016" w:rsidRDefault="00972F5A" w:rsidP="00D34925">
      <w:pPr>
        <w:pStyle w:val="Zkladntext"/>
        <w:jc w:val="left"/>
      </w:pPr>
      <w:r w:rsidRPr="00FF4016">
        <w:t>0</w:t>
      </w:r>
      <w:r w:rsidR="005A5B79" w:rsidRPr="00FF4016">
        <w:t>6</w:t>
      </w:r>
      <w:r w:rsidRPr="00FF4016">
        <w:t>/2026</w:t>
      </w:r>
    </w:p>
    <w:p w14:paraId="3A32FC4F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1064527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897DCEE" w14:textId="77777777" w:rsidR="009A1A5E" w:rsidRPr="00FF4016" w:rsidRDefault="00D34925" w:rsidP="00D34925">
      <w:pPr>
        <w:pStyle w:val="Style1"/>
      </w:pPr>
      <w:r w:rsidRPr="00FF4016">
        <w:t>10.</w:t>
      </w:r>
      <w:r w:rsidRPr="00FF4016">
        <w:tab/>
        <w:t>KLASIFIKACE VETERINÁRNÍCH LÉČIVÝCH PŘÍPRAVKŮ</w:t>
      </w:r>
    </w:p>
    <w:p w14:paraId="750388A6" w14:textId="77777777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39E419E" w14:textId="77777777" w:rsidR="009A1A5E" w:rsidRPr="00FF4016" w:rsidRDefault="00D34925" w:rsidP="00D34925">
      <w:pPr>
        <w:numPr>
          <w:ilvl w:val="12"/>
          <w:numId w:val="0"/>
        </w:numPr>
        <w:spacing w:line="240" w:lineRule="auto"/>
        <w:rPr>
          <w:szCs w:val="22"/>
        </w:rPr>
      </w:pPr>
      <w:r w:rsidRPr="00FF4016">
        <w:t>Veterinární léčivý přípravek je vydáván pouze na předpis.</w:t>
      </w:r>
    </w:p>
    <w:p w14:paraId="094800E0" w14:textId="77777777" w:rsidR="009A1A5E" w:rsidRPr="00FF4016" w:rsidRDefault="009A1A5E" w:rsidP="00D34925">
      <w:pPr>
        <w:spacing w:line="240" w:lineRule="auto"/>
        <w:ind w:right="-318"/>
        <w:rPr>
          <w:szCs w:val="22"/>
        </w:rPr>
      </w:pPr>
    </w:p>
    <w:p w14:paraId="622F7E96" w14:textId="77777777" w:rsidR="008457AD" w:rsidRDefault="008457AD" w:rsidP="008457AD">
      <w:pPr>
        <w:spacing w:line="240" w:lineRule="auto"/>
        <w:jc w:val="both"/>
        <w:rPr>
          <w:rFonts w:asciiTheme="minorHAnsi" w:hAnsiTheme="minorHAnsi" w:cstheme="minorHAnsi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Start w:id="6" w:name="_Hlk148432335"/>
      <w:r w:rsidRPr="00FF5DBB">
        <w:rPr>
          <w:rFonts w:asciiTheme="minorHAnsi" w:hAnsiTheme="minorHAnsi" w:cstheme="minorHAnsi"/>
        </w:rPr>
        <w:t xml:space="preserve"> </w:t>
      </w:r>
    </w:p>
    <w:p w14:paraId="53183288" w14:textId="77777777" w:rsidR="008457AD" w:rsidRDefault="008457AD" w:rsidP="008457AD">
      <w:pPr>
        <w:spacing w:line="240" w:lineRule="auto"/>
        <w:jc w:val="both"/>
        <w:rPr>
          <w:rFonts w:asciiTheme="minorHAnsi" w:hAnsiTheme="minorHAnsi" w:cstheme="minorHAnsi"/>
        </w:rPr>
      </w:pPr>
    </w:p>
    <w:p w14:paraId="625776C7" w14:textId="77777777" w:rsidR="008457AD" w:rsidRPr="002252DC" w:rsidRDefault="008457AD" w:rsidP="008457AD">
      <w:pPr>
        <w:spacing w:line="240" w:lineRule="auto"/>
        <w:jc w:val="both"/>
      </w:pPr>
      <w:bookmarkStart w:id="7" w:name="_Hlk230348931"/>
      <w:r w:rsidRPr="002252DC">
        <w:t>Podrobné informace o tomto veterinárním léčivém přípravku naleznete také v národní databázi (</w:t>
      </w:r>
      <w:hyperlink r:id="rId9" w:history="1">
        <w:r w:rsidRPr="002252DC">
          <w:rPr>
            <w:rStyle w:val="Hypertextovodkaz"/>
          </w:rPr>
          <w:t>https://www.uskvbl.cz</w:t>
        </w:r>
      </w:hyperlink>
      <w:r w:rsidRPr="002252DC">
        <w:t>).</w:t>
      </w:r>
    </w:p>
    <w:p w14:paraId="4AE9CD60" w14:textId="4103A89B" w:rsidR="009A1A5E" w:rsidRPr="00FF4016" w:rsidRDefault="009A1A5E" w:rsidP="00D34925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bookmarkEnd w:id="5"/>
      <w:bookmarkEnd w:id="6"/>
      <w:bookmarkEnd w:id="7"/>
      <w:bookmarkEnd w:id="8"/>
    </w:p>
    <w:sectPr w:rsidR="009A1A5E" w:rsidRPr="00FF4016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7487" w14:textId="77777777" w:rsidR="0074208B" w:rsidRDefault="0074208B">
      <w:pPr>
        <w:spacing w:line="240" w:lineRule="auto"/>
      </w:pPr>
      <w:r>
        <w:separator/>
      </w:r>
    </w:p>
  </w:endnote>
  <w:endnote w:type="continuationSeparator" w:id="0">
    <w:p w14:paraId="1E8AFE77" w14:textId="77777777" w:rsidR="0074208B" w:rsidRDefault="00742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D2EF" w14:textId="77777777" w:rsidR="009A1A5E" w:rsidRDefault="00D34925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>
      <w:rPr>
        <w:rFonts w:asciiTheme="minorBidi" w:hAnsiTheme="minorBidi" w:cstheme="minorBidi"/>
        <w:noProof/>
      </w:rPr>
      <w:t>25</w:t>
    </w:r>
    <w:r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910F" w14:textId="77777777" w:rsidR="009A1A5E" w:rsidRDefault="00D3492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EB0E" w14:textId="77777777" w:rsidR="0074208B" w:rsidRDefault="0074208B">
      <w:pPr>
        <w:spacing w:line="240" w:lineRule="auto"/>
      </w:pPr>
      <w:r>
        <w:separator/>
      </w:r>
    </w:p>
  </w:footnote>
  <w:footnote w:type="continuationSeparator" w:id="0">
    <w:p w14:paraId="19B5C6DB" w14:textId="77777777" w:rsidR="0074208B" w:rsidRDefault="00742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DF5F" w14:textId="7D6126FF" w:rsidR="005C0C5F" w:rsidRDefault="005C0C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80E3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E0E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A6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3A8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EA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89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60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04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80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000C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444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80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4A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61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A3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EA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0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E5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8E0B7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785A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7A84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14B1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8C52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4AAF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76A8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B36AE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0A7F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BD24E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54EB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C037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9A7E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26D4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0AEB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404C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8D24B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DCD2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AE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A9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AA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03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6D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2E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67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C9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92067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9EB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381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C2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4E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E3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6C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C9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AC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1A4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90E6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6221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C03A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6280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5CF0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FCA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96D1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A252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1043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9E69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20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E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4E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82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C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2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A5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06A30"/>
    <w:multiLevelType w:val="hybridMultilevel"/>
    <w:tmpl w:val="E2F2FF14"/>
    <w:lvl w:ilvl="0" w:tplc="46DCE5DA">
      <w:start w:val="1"/>
      <w:numFmt w:val="decimal"/>
      <w:lvlText w:val="%1."/>
      <w:lvlJc w:val="left"/>
      <w:pPr>
        <w:ind w:left="686" w:hanging="568"/>
      </w:pPr>
      <w:rPr>
        <w:rFonts w:hint="default"/>
        <w:w w:val="99"/>
        <w:highlight w:val="lightGray"/>
      </w:rPr>
    </w:lvl>
    <w:lvl w:ilvl="1" w:tplc="6E6492B4">
      <w:numFmt w:val="bullet"/>
      <w:lvlText w:val="•"/>
      <w:lvlJc w:val="left"/>
      <w:pPr>
        <w:ind w:left="1533" w:hanging="568"/>
      </w:pPr>
      <w:rPr>
        <w:rFonts w:hint="default"/>
      </w:rPr>
    </w:lvl>
    <w:lvl w:ilvl="2" w:tplc="9E5EE286">
      <w:numFmt w:val="bullet"/>
      <w:lvlText w:val="•"/>
      <w:lvlJc w:val="left"/>
      <w:pPr>
        <w:ind w:left="2387" w:hanging="568"/>
      </w:pPr>
      <w:rPr>
        <w:rFonts w:hint="default"/>
      </w:rPr>
    </w:lvl>
    <w:lvl w:ilvl="3" w:tplc="B930129A">
      <w:numFmt w:val="bullet"/>
      <w:lvlText w:val="•"/>
      <w:lvlJc w:val="left"/>
      <w:pPr>
        <w:ind w:left="3241" w:hanging="568"/>
      </w:pPr>
      <w:rPr>
        <w:rFonts w:hint="default"/>
      </w:rPr>
    </w:lvl>
    <w:lvl w:ilvl="4" w:tplc="081A394A">
      <w:numFmt w:val="bullet"/>
      <w:lvlText w:val="•"/>
      <w:lvlJc w:val="left"/>
      <w:pPr>
        <w:ind w:left="4095" w:hanging="568"/>
      </w:pPr>
      <w:rPr>
        <w:rFonts w:hint="default"/>
      </w:rPr>
    </w:lvl>
    <w:lvl w:ilvl="5" w:tplc="5FBC15E4">
      <w:numFmt w:val="bullet"/>
      <w:lvlText w:val="•"/>
      <w:lvlJc w:val="left"/>
      <w:pPr>
        <w:ind w:left="4949" w:hanging="568"/>
      </w:pPr>
      <w:rPr>
        <w:rFonts w:hint="default"/>
      </w:rPr>
    </w:lvl>
    <w:lvl w:ilvl="6" w:tplc="24B22318">
      <w:numFmt w:val="bullet"/>
      <w:lvlText w:val="•"/>
      <w:lvlJc w:val="left"/>
      <w:pPr>
        <w:ind w:left="5803" w:hanging="568"/>
      </w:pPr>
      <w:rPr>
        <w:rFonts w:hint="default"/>
      </w:rPr>
    </w:lvl>
    <w:lvl w:ilvl="7" w:tplc="B0E4A50C">
      <w:numFmt w:val="bullet"/>
      <w:lvlText w:val="•"/>
      <w:lvlJc w:val="left"/>
      <w:pPr>
        <w:ind w:left="6656" w:hanging="568"/>
      </w:pPr>
      <w:rPr>
        <w:rFonts w:hint="default"/>
      </w:rPr>
    </w:lvl>
    <w:lvl w:ilvl="8" w:tplc="27E296CE">
      <w:numFmt w:val="bullet"/>
      <w:lvlText w:val="•"/>
      <w:lvlJc w:val="left"/>
      <w:pPr>
        <w:ind w:left="7510" w:hanging="568"/>
      </w:pPr>
      <w:rPr>
        <w:rFonts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7864E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506A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C486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2F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E0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05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6C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4C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302E0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CD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445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A2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85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E4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7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0D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20F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5883B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769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24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6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8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80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E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C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4B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A52E5A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54A6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9C64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E7430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F6046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7006B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C068E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2209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383D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172AF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FC5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169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D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26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25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80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44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DC8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9861D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2C4659A" w:tentative="1">
      <w:start w:val="1"/>
      <w:numFmt w:val="lowerLetter"/>
      <w:lvlText w:val="%2."/>
      <w:lvlJc w:val="left"/>
      <w:pPr>
        <w:ind w:left="1440" w:hanging="360"/>
      </w:pPr>
    </w:lvl>
    <w:lvl w:ilvl="2" w:tplc="3276303C" w:tentative="1">
      <w:start w:val="1"/>
      <w:numFmt w:val="lowerRoman"/>
      <w:lvlText w:val="%3."/>
      <w:lvlJc w:val="right"/>
      <w:pPr>
        <w:ind w:left="2160" w:hanging="180"/>
      </w:pPr>
    </w:lvl>
    <w:lvl w:ilvl="3" w:tplc="B770BDB2" w:tentative="1">
      <w:start w:val="1"/>
      <w:numFmt w:val="decimal"/>
      <w:lvlText w:val="%4."/>
      <w:lvlJc w:val="left"/>
      <w:pPr>
        <w:ind w:left="2880" w:hanging="360"/>
      </w:pPr>
    </w:lvl>
    <w:lvl w:ilvl="4" w:tplc="D82A5C8A" w:tentative="1">
      <w:start w:val="1"/>
      <w:numFmt w:val="lowerLetter"/>
      <w:lvlText w:val="%5."/>
      <w:lvlJc w:val="left"/>
      <w:pPr>
        <w:ind w:left="3600" w:hanging="360"/>
      </w:pPr>
    </w:lvl>
    <w:lvl w:ilvl="5" w:tplc="B002E1EA" w:tentative="1">
      <w:start w:val="1"/>
      <w:numFmt w:val="lowerRoman"/>
      <w:lvlText w:val="%6."/>
      <w:lvlJc w:val="right"/>
      <w:pPr>
        <w:ind w:left="4320" w:hanging="180"/>
      </w:pPr>
    </w:lvl>
    <w:lvl w:ilvl="6" w:tplc="5B5A2932" w:tentative="1">
      <w:start w:val="1"/>
      <w:numFmt w:val="decimal"/>
      <w:lvlText w:val="%7."/>
      <w:lvlJc w:val="left"/>
      <w:pPr>
        <w:ind w:left="5040" w:hanging="360"/>
      </w:pPr>
    </w:lvl>
    <w:lvl w:ilvl="7" w:tplc="DA4426EC" w:tentative="1">
      <w:start w:val="1"/>
      <w:numFmt w:val="lowerLetter"/>
      <w:lvlText w:val="%8."/>
      <w:lvlJc w:val="left"/>
      <w:pPr>
        <w:ind w:left="5760" w:hanging="360"/>
      </w:pPr>
    </w:lvl>
    <w:lvl w:ilvl="8" w:tplc="AF4C8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8C2A87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94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68C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2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EF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4E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0E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62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340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A3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48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49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AC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AB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C2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C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A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E4A969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F28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AD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CA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00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2B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B20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CC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A2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752F362">
      <w:start w:val="1"/>
      <w:numFmt w:val="decimal"/>
      <w:lvlText w:val="%1."/>
      <w:lvlJc w:val="left"/>
      <w:pPr>
        <w:ind w:left="720" w:hanging="360"/>
      </w:pPr>
    </w:lvl>
    <w:lvl w:ilvl="1" w:tplc="B21C8384" w:tentative="1">
      <w:start w:val="1"/>
      <w:numFmt w:val="lowerLetter"/>
      <w:lvlText w:val="%2."/>
      <w:lvlJc w:val="left"/>
      <w:pPr>
        <w:ind w:left="1440" w:hanging="360"/>
      </w:pPr>
    </w:lvl>
    <w:lvl w:ilvl="2" w:tplc="05CCD4A0" w:tentative="1">
      <w:start w:val="1"/>
      <w:numFmt w:val="lowerRoman"/>
      <w:lvlText w:val="%3."/>
      <w:lvlJc w:val="right"/>
      <w:pPr>
        <w:ind w:left="2160" w:hanging="180"/>
      </w:pPr>
    </w:lvl>
    <w:lvl w:ilvl="3" w:tplc="85C2FFF0" w:tentative="1">
      <w:start w:val="1"/>
      <w:numFmt w:val="decimal"/>
      <w:lvlText w:val="%4."/>
      <w:lvlJc w:val="left"/>
      <w:pPr>
        <w:ind w:left="2880" w:hanging="360"/>
      </w:pPr>
    </w:lvl>
    <w:lvl w:ilvl="4" w:tplc="33187E0E" w:tentative="1">
      <w:start w:val="1"/>
      <w:numFmt w:val="lowerLetter"/>
      <w:lvlText w:val="%5."/>
      <w:lvlJc w:val="left"/>
      <w:pPr>
        <w:ind w:left="3600" w:hanging="360"/>
      </w:pPr>
    </w:lvl>
    <w:lvl w:ilvl="5" w:tplc="788C28FE" w:tentative="1">
      <w:start w:val="1"/>
      <w:numFmt w:val="lowerRoman"/>
      <w:lvlText w:val="%6."/>
      <w:lvlJc w:val="right"/>
      <w:pPr>
        <w:ind w:left="4320" w:hanging="180"/>
      </w:pPr>
    </w:lvl>
    <w:lvl w:ilvl="6" w:tplc="FDDEB8E6" w:tentative="1">
      <w:start w:val="1"/>
      <w:numFmt w:val="decimal"/>
      <w:lvlText w:val="%7."/>
      <w:lvlJc w:val="left"/>
      <w:pPr>
        <w:ind w:left="5040" w:hanging="360"/>
      </w:pPr>
    </w:lvl>
    <w:lvl w:ilvl="7" w:tplc="F87A158E" w:tentative="1">
      <w:start w:val="1"/>
      <w:numFmt w:val="lowerLetter"/>
      <w:lvlText w:val="%8."/>
      <w:lvlJc w:val="left"/>
      <w:pPr>
        <w:ind w:left="5760" w:hanging="360"/>
      </w:pPr>
    </w:lvl>
    <w:lvl w:ilvl="8" w:tplc="48DC9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530D6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F07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B23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8B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29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B6C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2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27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8F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A1A5E"/>
    <w:rsid w:val="0002141E"/>
    <w:rsid w:val="0005571A"/>
    <w:rsid w:val="000D4868"/>
    <w:rsid w:val="001426CD"/>
    <w:rsid w:val="00165806"/>
    <w:rsid w:val="001B5D83"/>
    <w:rsid w:val="001D4C1E"/>
    <w:rsid w:val="001E5CE2"/>
    <w:rsid w:val="00216D0D"/>
    <w:rsid w:val="00262323"/>
    <w:rsid w:val="002D7376"/>
    <w:rsid w:val="00343B63"/>
    <w:rsid w:val="00380139"/>
    <w:rsid w:val="003D6A9E"/>
    <w:rsid w:val="00410BED"/>
    <w:rsid w:val="0043592D"/>
    <w:rsid w:val="00444780"/>
    <w:rsid w:val="00537D4E"/>
    <w:rsid w:val="005449BF"/>
    <w:rsid w:val="005A5B79"/>
    <w:rsid w:val="005C0C5F"/>
    <w:rsid w:val="005D11F1"/>
    <w:rsid w:val="00611C4E"/>
    <w:rsid w:val="0062651A"/>
    <w:rsid w:val="00635DDB"/>
    <w:rsid w:val="0063607E"/>
    <w:rsid w:val="00666659"/>
    <w:rsid w:val="00691A80"/>
    <w:rsid w:val="006E0A02"/>
    <w:rsid w:val="0074208B"/>
    <w:rsid w:val="0077121B"/>
    <w:rsid w:val="007B4357"/>
    <w:rsid w:val="008145D9"/>
    <w:rsid w:val="008457AD"/>
    <w:rsid w:val="00972F5A"/>
    <w:rsid w:val="00996E7D"/>
    <w:rsid w:val="009A1A5E"/>
    <w:rsid w:val="009E7BBC"/>
    <w:rsid w:val="00A61F23"/>
    <w:rsid w:val="00AD665B"/>
    <w:rsid w:val="00B10A97"/>
    <w:rsid w:val="00B176D3"/>
    <w:rsid w:val="00BE14A0"/>
    <w:rsid w:val="00BF6D81"/>
    <w:rsid w:val="00C32244"/>
    <w:rsid w:val="00CB48E4"/>
    <w:rsid w:val="00CC2BFB"/>
    <w:rsid w:val="00CC4616"/>
    <w:rsid w:val="00CD4964"/>
    <w:rsid w:val="00CE0147"/>
    <w:rsid w:val="00D31195"/>
    <w:rsid w:val="00D34925"/>
    <w:rsid w:val="00D84345"/>
    <w:rsid w:val="00E0401F"/>
    <w:rsid w:val="00E47031"/>
    <w:rsid w:val="00F16D59"/>
    <w:rsid w:val="00F34194"/>
    <w:rsid w:val="00F97862"/>
    <w:rsid w:val="00FA0066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45A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paragraph" w:styleId="Odstavecseseznamem">
    <w:name w:val="List Paragraph"/>
    <w:basedOn w:val="Normln"/>
    <w:uiPriority w:val="1"/>
    <w:qFormat/>
    <w:rsid w:val="00CC2BFB"/>
    <w:pPr>
      <w:widowControl w:val="0"/>
      <w:tabs>
        <w:tab w:val="clear" w:pos="567"/>
      </w:tabs>
      <w:autoSpaceDE w:val="0"/>
      <w:autoSpaceDN w:val="0"/>
      <w:spacing w:line="240" w:lineRule="auto"/>
      <w:ind w:left="686" w:hanging="568"/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F8F9-1DD0-44CF-9EBB-4358DB8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2410</Words>
  <Characters>14223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SYVA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Neugebauerová Kateřina</cp:lastModifiedBy>
  <cp:revision>15</cp:revision>
  <cp:lastPrinted>2026-06-24T10:54:00Z</cp:lastPrinted>
  <dcterms:created xsi:type="dcterms:W3CDTF">2026-05-13T10:37:00Z</dcterms:created>
  <dcterms:modified xsi:type="dcterms:W3CDTF">2026-06-24T10:54:00Z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