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022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BCD9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BABC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A679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9AF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AD04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64EAA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8A6DE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7B03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FA0F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E268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8CEE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54C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D198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893E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DD7A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303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E671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52DA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84384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FDDE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FAB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36E12" w14:textId="15A27289" w:rsidR="00C114FF" w:rsidRPr="007D7C20" w:rsidRDefault="00DA06FA" w:rsidP="007D7C2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 I</w:t>
      </w:r>
    </w:p>
    <w:p w14:paraId="0C53298D" w14:textId="77777777" w:rsidR="00DF2A93" w:rsidRPr="00723B26" w:rsidRDefault="00DF2A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270B2" w14:textId="77777777" w:rsidR="00C114FF" w:rsidRPr="00723B26" w:rsidRDefault="000908E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17DA336F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28F3E9D7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1F3BCF" w14:textId="39E4513E" w:rsidR="00C114FF" w:rsidRDefault="00994225" w:rsidP="00B1335F">
      <w:pPr>
        <w:autoSpaceDE w:val="0"/>
        <w:autoSpaceDN w:val="0"/>
        <w:adjustRightInd w:val="0"/>
        <w:spacing w:line="240" w:lineRule="auto"/>
      </w:pPr>
      <w:bookmarkStart w:id="0" w:name="_Hlk168388162"/>
      <w:bookmarkStart w:id="1" w:name="_Hlk222220083"/>
      <w:proofErr w:type="spellStart"/>
      <w:r>
        <w:t>Lyncoo</w:t>
      </w:r>
      <w:proofErr w:type="spellEnd"/>
      <w:r>
        <w:t xml:space="preserve"> 400 mg/g prášek pro podání v pitné vodě pro prasata a ku</w:t>
      </w:r>
      <w:r w:rsidR="000F7402">
        <w:t>r domácí</w:t>
      </w:r>
      <w:bookmarkEnd w:id="0"/>
    </w:p>
    <w:bookmarkEnd w:id="1"/>
    <w:p w14:paraId="35DA9864" w14:textId="77777777" w:rsidR="00A32EF7" w:rsidRPr="00C80222" w:rsidRDefault="00A32EF7" w:rsidP="00B1335F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E4636E2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46F44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331D6496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0B040" w14:textId="77777777" w:rsidR="00DD4F61" w:rsidRPr="00C80222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2" w:name="_Hlk168388396"/>
      <w:r>
        <w:t>Každý g obsahuje</w:t>
      </w:r>
    </w:p>
    <w:p w14:paraId="00DA6F70" w14:textId="77777777" w:rsidR="000908E1" w:rsidRPr="00C80222" w:rsidRDefault="000908E1" w:rsidP="00DD4F6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724650FA" w14:textId="2D524914" w:rsidR="00DD4F61" w:rsidRPr="00C80222" w:rsidRDefault="00DD4F61" w:rsidP="00DD4F6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b/>
        </w:rPr>
        <w:t>Léčivá látka:</w:t>
      </w:r>
    </w:p>
    <w:p w14:paraId="731937A3" w14:textId="75CCCFEB" w:rsidR="00D22E15" w:rsidRPr="00C80222" w:rsidRDefault="002B65B8" w:rsidP="007D7C20">
      <w:pPr>
        <w:autoSpaceDE w:val="0"/>
        <w:autoSpaceDN w:val="0"/>
        <w:adjustRightInd w:val="0"/>
        <w:spacing w:line="240" w:lineRule="auto"/>
        <w:rPr>
          <w:rFonts w:eastAsia="Calibri" w:cs="Arial"/>
          <w:szCs w:val="22"/>
        </w:rPr>
      </w:pPr>
      <w:proofErr w:type="spellStart"/>
      <w:r>
        <w:t>Lincomycinum</w:t>
      </w:r>
      <w:proofErr w:type="spellEnd"/>
      <w:r w:rsidR="00994225">
        <w:tab/>
      </w:r>
      <w:r w:rsidR="00994225">
        <w:tab/>
        <w:t>400 mg (</w:t>
      </w:r>
      <w:r>
        <w:t xml:space="preserve">odpovídá </w:t>
      </w:r>
      <w:r w:rsidR="00994225">
        <w:t xml:space="preserve">453,6 mg </w:t>
      </w:r>
      <w:proofErr w:type="spellStart"/>
      <w:r w:rsidR="00994225">
        <w:t>lin</w:t>
      </w:r>
      <w:r>
        <w:t>c</w:t>
      </w:r>
      <w:r w:rsidR="00994225">
        <w:t>omycin</w:t>
      </w:r>
      <w:r>
        <w:t>i</w:t>
      </w:r>
      <w:proofErr w:type="spellEnd"/>
      <w:r w:rsidR="00994225">
        <w:t xml:space="preserve"> </w:t>
      </w:r>
      <w:proofErr w:type="spellStart"/>
      <w:r w:rsidR="00994225">
        <w:t>hydrochloridu</w:t>
      </w:r>
      <w:r>
        <w:t>m</w:t>
      </w:r>
      <w:proofErr w:type="spellEnd"/>
      <w:r w:rsidR="00994225">
        <w:t>)</w:t>
      </w:r>
    </w:p>
    <w:bookmarkEnd w:id="2"/>
    <w:p w14:paraId="25827FBC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4433E5" w14:textId="59F6C94D" w:rsidR="00C114FF" w:rsidRPr="00C80222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Pomocná látka:</w:t>
      </w:r>
    </w:p>
    <w:p w14:paraId="1487A957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DD4F61" w:rsidRPr="00C80222" w14:paraId="5DED9E3C" w14:textId="77777777" w:rsidTr="00872C48">
        <w:tc>
          <w:tcPr>
            <w:tcW w:w="4643" w:type="dxa"/>
            <w:shd w:val="clear" w:color="auto" w:fill="auto"/>
            <w:vAlign w:val="center"/>
          </w:tcPr>
          <w:p w14:paraId="33783D95" w14:textId="39B980F6" w:rsidR="00DD4F61" w:rsidRPr="00C80222" w:rsidRDefault="00DD4F61" w:rsidP="00617B81">
            <w:pPr>
              <w:spacing w:before="60" w:after="60"/>
              <w:rPr>
                <w:iCs/>
                <w:szCs w:val="22"/>
              </w:rPr>
            </w:pPr>
            <w:proofErr w:type="gramStart"/>
            <w:r>
              <w:rPr>
                <w:b/>
              </w:rPr>
              <w:t>Kvalitativní</w:t>
            </w:r>
            <w:r>
              <w:t xml:space="preserve"> </w:t>
            </w:r>
            <w:r>
              <w:rPr>
                <w:b/>
              </w:rPr>
              <w:t xml:space="preserve"> složení</w:t>
            </w:r>
            <w:proofErr w:type="gramEnd"/>
            <w:r>
              <w:rPr>
                <w:b/>
              </w:rPr>
              <w:t xml:space="preserve"> pomocných látek a dalších složek</w:t>
            </w:r>
          </w:p>
        </w:tc>
      </w:tr>
      <w:tr w:rsidR="00DD4F61" w:rsidRPr="00C80222" w14:paraId="067AD943" w14:textId="77777777" w:rsidTr="00872C48">
        <w:tc>
          <w:tcPr>
            <w:tcW w:w="4643" w:type="dxa"/>
            <w:shd w:val="clear" w:color="auto" w:fill="auto"/>
            <w:vAlign w:val="center"/>
          </w:tcPr>
          <w:p w14:paraId="7FDC486C" w14:textId="0573D604" w:rsidR="00DD4F61" w:rsidRPr="00C80222" w:rsidRDefault="002B65B8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M</w:t>
            </w:r>
            <w:r w:rsidR="00DD4F61">
              <w:t>onohydrát</w:t>
            </w:r>
            <w:proofErr w:type="spellEnd"/>
            <w:r>
              <w:t xml:space="preserve"> </w:t>
            </w:r>
            <w:proofErr w:type="spellStart"/>
            <w:r>
              <w:t>laktosy</w:t>
            </w:r>
            <w:proofErr w:type="spellEnd"/>
          </w:p>
        </w:tc>
      </w:tr>
    </w:tbl>
    <w:p w14:paraId="72DD9323" w14:textId="77777777" w:rsidR="00872C48" w:rsidRPr="00C802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F804F" w14:textId="750539C1" w:rsidR="00DD4F61" w:rsidRPr="00C80222" w:rsidRDefault="00C270AF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3" w:name="_Hlk168395510"/>
      <w:r>
        <w:t>Jemný bílý prášek.</w:t>
      </w:r>
    </w:p>
    <w:bookmarkEnd w:id="3"/>
    <w:p w14:paraId="396287F2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39BAB0" w14:textId="77777777" w:rsidR="00DD4F61" w:rsidRPr="00C80222" w:rsidRDefault="00DD4F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62DDA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INFORMACE</w:t>
      </w:r>
    </w:p>
    <w:p w14:paraId="4C19BCFE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429FA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Cílové druhy zvířat</w:t>
      </w:r>
    </w:p>
    <w:p w14:paraId="216B4184" w14:textId="77777777" w:rsidR="00723B26" w:rsidRPr="00C80222" w:rsidRDefault="00723B26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2F0F9E4" w14:textId="47E61079" w:rsidR="00DD4F61" w:rsidRPr="00C80222" w:rsidRDefault="00994225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4" w:name="_Hlk165991792"/>
      <w:r>
        <w:t>Prasata</w:t>
      </w:r>
      <w:r w:rsidR="008203FB">
        <w:t>, kur domácí</w:t>
      </w:r>
    </w:p>
    <w:bookmarkEnd w:id="4"/>
    <w:p w14:paraId="22EBC44D" w14:textId="77777777" w:rsidR="00DD4F61" w:rsidRPr="00C80222" w:rsidRDefault="00DD4F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A705B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3.2 Indikace pro použití pro každý cílový druh zvířat</w:t>
      </w:r>
    </w:p>
    <w:p w14:paraId="5C553151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A23F67" w14:textId="77777777" w:rsidR="00994225" w:rsidRPr="00C80222" w:rsidRDefault="00994225" w:rsidP="00994225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bookmarkStart w:id="5" w:name="_Hlk168390252"/>
      <w:r>
        <w:rPr>
          <w:u w:val="single"/>
        </w:rPr>
        <w:t>Prasata</w:t>
      </w:r>
    </w:p>
    <w:p w14:paraId="21672451" w14:textId="146E9142" w:rsidR="00994225" w:rsidRPr="00C80222" w:rsidRDefault="00994225" w:rsidP="00994225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Léčba a </w:t>
      </w:r>
      <w:proofErr w:type="spellStart"/>
      <w:r>
        <w:t>metafylaxe</w:t>
      </w:r>
      <w:proofErr w:type="spellEnd"/>
      <w:r>
        <w:t xml:space="preserve"> enzootické pneumonie </w:t>
      </w:r>
      <w:r w:rsidR="008203FB">
        <w:t xml:space="preserve">vyvolané </w:t>
      </w:r>
      <w:proofErr w:type="spellStart"/>
      <w:r>
        <w:rPr>
          <w:i/>
        </w:rPr>
        <w:t>Mycoplasma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hyopneumoniae</w:t>
      </w:r>
      <w:proofErr w:type="spellEnd"/>
      <w:r>
        <w:t>.</w:t>
      </w:r>
    </w:p>
    <w:p w14:paraId="0CE8FF5C" w14:textId="4FA0BAB7" w:rsidR="00994225" w:rsidRPr="00C80222" w:rsidRDefault="00994225" w:rsidP="00994225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Před použitím veterinárního léčivého přípravku je nutné potvrdit výskyt onemocnění ve skupině.</w:t>
      </w:r>
    </w:p>
    <w:p w14:paraId="43997AA0" w14:textId="77777777" w:rsidR="00A93CF6" w:rsidRDefault="00A93CF6" w:rsidP="00994225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61992E48" w14:textId="70C73E4E" w:rsidR="00994225" w:rsidRPr="00C80222" w:rsidRDefault="00994225" w:rsidP="00994225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>Ku</w:t>
      </w:r>
      <w:r w:rsidR="008203FB">
        <w:rPr>
          <w:u w:val="single"/>
        </w:rPr>
        <w:t>r domácí</w:t>
      </w:r>
    </w:p>
    <w:p w14:paraId="4C917365" w14:textId="26AE326B" w:rsidR="00994225" w:rsidRPr="00C80222" w:rsidRDefault="00994225" w:rsidP="00994225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Léčba a </w:t>
      </w:r>
      <w:proofErr w:type="spellStart"/>
      <w:r>
        <w:t>metafylaxe</w:t>
      </w:r>
      <w:proofErr w:type="spellEnd"/>
      <w:r>
        <w:t xml:space="preserve"> nekrotické enteritidy </w:t>
      </w:r>
      <w:r w:rsidR="008203FB">
        <w:t xml:space="preserve">vyvolané </w:t>
      </w:r>
      <w:r>
        <w:rPr>
          <w:i/>
        </w:rPr>
        <w:t xml:space="preserve">Clostridium </w:t>
      </w:r>
      <w:proofErr w:type="spellStart"/>
      <w:r>
        <w:rPr>
          <w:i/>
        </w:rPr>
        <w:t>perfringens</w:t>
      </w:r>
      <w:proofErr w:type="spellEnd"/>
      <w:r>
        <w:t>.</w:t>
      </w:r>
    </w:p>
    <w:p w14:paraId="0304D179" w14:textId="7BD4D6CF" w:rsidR="00994225" w:rsidRPr="00C80222" w:rsidRDefault="00994225" w:rsidP="00994225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Před použitím veterinárního léčivého přípravku je nutné potvrdit výskyt onemocnění v hejnu.</w:t>
      </w:r>
    </w:p>
    <w:bookmarkEnd w:id="5"/>
    <w:p w14:paraId="010FF133" w14:textId="77777777" w:rsidR="00723B26" w:rsidRDefault="00723B2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14D969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Kontraindikace</w:t>
      </w:r>
    </w:p>
    <w:p w14:paraId="5DE593E5" w14:textId="77777777" w:rsidR="00C114FF" w:rsidRPr="00C802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8BBD27" w14:textId="42DDCDAF" w:rsidR="00994225" w:rsidRPr="00C80222" w:rsidRDefault="00994225" w:rsidP="00994225">
      <w:pPr>
        <w:tabs>
          <w:tab w:val="clear" w:pos="567"/>
        </w:tabs>
        <w:spacing w:line="240" w:lineRule="auto"/>
        <w:rPr>
          <w:szCs w:val="22"/>
        </w:rPr>
      </w:pPr>
      <w:r>
        <w:t>Nepoužívejte v případech přecitlivělosti na léčivou látku nebo na některou z pomocných látek.</w:t>
      </w:r>
    </w:p>
    <w:p w14:paraId="23697517" w14:textId="66321611" w:rsidR="00994225" w:rsidRPr="00C80222" w:rsidRDefault="00994225" w:rsidP="00994225">
      <w:pPr>
        <w:tabs>
          <w:tab w:val="clear" w:pos="567"/>
        </w:tabs>
        <w:spacing w:line="240" w:lineRule="auto"/>
        <w:rPr>
          <w:szCs w:val="22"/>
        </w:rPr>
      </w:pPr>
      <w:r>
        <w:t>Nepodávejte a ne</w:t>
      </w:r>
      <w:r w:rsidR="008203FB">
        <w:t>umožněte</w:t>
      </w:r>
      <w:r>
        <w:t xml:space="preserve"> přístup k vodě obsahující </w:t>
      </w:r>
      <w:proofErr w:type="spellStart"/>
      <w:r>
        <w:t>linkomycin</w:t>
      </w:r>
      <w:proofErr w:type="spellEnd"/>
      <w:r>
        <w:t xml:space="preserve"> králíkům, křečkům, morčatům, činčilám, koním ani přežvýkavcům, protože by to mohlo vést k závažným gastrointestinálním po</w:t>
      </w:r>
      <w:r w:rsidR="008203FB">
        <w:t>tížím</w:t>
      </w:r>
      <w:r>
        <w:t>.</w:t>
      </w:r>
    </w:p>
    <w:p w14:paraId="1FBDB3A5" w14:textId="77777777" w:rsidR="00994225" w:rsidRPr="00C80222" w:rsidRDefault="00994225" w:rsidP="00994225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Nepoužívejte v případě známé rezistence na </w:t>
      </w:r>
      <w:proofErr w:type="spellStart"/>
      <w:r>
        <w:t>linkosamidy</w:t>
      </w:r>
      <w:proofErr w:type="spellEnd"/>
      <w:r>
        <w:t>.</w:t>
      </w:r>
    </w:p>
    <w:p w14:paraId="3A83B21B" w14:textId="6485A3A3" w:rsidR="00C114FF" w:rsidRPr="00C80222" w:rsidRDefault="00994225" w:rsidP="00994225">
      <w:pPr>
        <w:tabs>
          <w:tab w:val="clear" w:pos="567"/>
        </w:tabs>
        <w:spacing w:line="240" w:lineRule="auto"/>
        <w:rPr>
          <w:szCs w:val="22"/>
        </w:rPr>
      </w:pPr>
      <w:r>
        <w:t>Nepoužívejte v případě dysfunkce jater.</w:t>
      </w:r>
    </w:p>
    <w:p w14:paraId="61D2577D" w14:textId="77777777" w:rsidR="00994225" w:rsidRPr="00C80222" w:rsidRDefault="00994225" w:rsidP="00994225">
      <w:pPr>
        <w:tabs>
          <w:tab w:val="clear" w:pos="567"/>
        </w:tabs>
        <w:spacing w:line="240" w:lineRule="auto"/>
        <w:rPr>
          <w:szCs w:val="22"/>
        </w:rPr>
      </w:pPr>
    </w:p>
    <w:p w14:paraId="69549A96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Zvláštní upozornění </w:t>
      </w:r>
    </w:p>
    <w:p w14:paraId="26ACDC81" w14:textId="77777777" w:rsidR="006811D1" w:rsidRPr="006811D1" w:rsidRDefault="006811D1" w:rsidP="006811D1">
      <w:pPr>
        <w:tabs>
          <w:tab w:val="clear" w:pos="567"/>
        </w:tabs>
        <w:spacing w:line="240" w:lineRule="auto"/>
        <w:rPr>
          <w:szCs w:val="22"/>
        </w:rPr>
      </w:pPr>
    </w:p>
    <w:p w14:paraId="31F1FB78" w14:textId="2B48E603" w:rsidR="006811D1" w:rsidRPr="006811D1" w:rsidRDefault="006811D1" w:rsidP="006811D1">
      <w:pPr>
        <w:tabs>
          <w:tab w:val="clear" w:pos="567"/>
        </w:tabs>
        <w:spacing w:line="240" w:lineRule="auto"/>
        <w:rPr>
          <w:szCs w:val="22"/>
        </w:rPr>
      </w:pPr>
      <w:r>
        <w:t xml:space="preserve">Příjem </w:t>
      </w:r>
      <w:proofErr w:type="spellStart"/>
      <w:r>
        <w:t>medikované</w:t>
      </w:r>
      <w:proofErr w:type="spellEnd"/>
      <w:r>
        <w:t xml:space="preserve"> pitné vody může být ovlivněn závažností onemocnění. V případě nedostatečného příjmu vody by prasata měla být léčena parenterálně.</w:t>
      </w:r>
    </w:p>
    <w:p w14:paraId="614839A5" w14:textId="77777777" w:rsidR="00723B26" w:rsidRPr="00C80222" w:rsidRDefault="00723B26">
      <w:pPr>
        <w:tabs>
          <w:tab w:val="clear" w:pos="567"/>
        </w:tabs>
        <w:spacing w:line="240" w:lineRule="auto"/>
        <w:rPr>
          <w:szCs w:val="22"/>
        </w:rPr>
      </w:pPr>
    </w:p>
    <w:p w14:paraId="2DADABA0" w14:textId="07B115F6" w:rsidR="00A93CF6" w:rsidRPr="00BE60E2" w:rsidRDefault="00A93CF6" w:rsidP="007D7C20">
      <w:pPr>
        <w:tabs>
          <w:tab w:val="left" w:pos="540"/>
        </w:tabs>
        <w:jc w:val="both"/>
        <w:rPr>
          <w:color w:val="000000"/>
          <w:szCs w:val="22"/>
        </w:rPr>
      </w:pPr>
      <w:bookmarkStart w:id="6" w:name="_Hlk192852330"/>
      <w:r>
        <w:rPr>
          <w:color w:val="000000"/>
        </w:rPr>
        <w:t xml:space="preserve">Byla prokázána </w:t>
      </w:r>
      <w:r w:rsidR="008203FB">
        <w:rPr>
          <w:color w:val="000000"/>
        </w:rPr>
        <w:t>zkřížená</w:t>
      </w:r>
      <w:r>
        <w:rPr>
          <w:color w:val="000000"/>
        </w:rPr>
        <w:t xml:space="preserve"> rezistence mezi </w:t>
      </w:r>
      <w:proofErr w:type="spellStart"/>
      <w:r>
        <w:rPr>
          <w:color w:val="000000"/>
        </w:rPr>
        <w:t>linkomycinem</w:t>
      </w:r>
      <w:proofErr w:type="spellEnd"/>
      <w:r>
        <w:rPr>
          <w:color w:val="000000"/>
        </w:rPr>
        <w:t xml:space="preserve"> a různými antimikrobními látkami, včetně jiných </w:t>
      </w:r>
      <w:proofErr w:type="spellStart"/>
      <w:r>
        <w:rPr>
          <w:color w:val="000000"/>
        </w:rPr>
        <w:t>linkosamidů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makrolidů</w:t>
      </w:r>
      <w:proofErr w:type="spellEnd"/>
      <w:r>
        <w:rPr>
          <w:color w:val="000000"/>
        </w:rPr>
        <w:t xml:space="preserve"> a </w:t>
      </w:r>
      <w:proofErr w:type="spellStart"/>
      <w:r>
        <w:rPr>
          <w:color w:val="000000"/>
        </w:rPr>
        <w:t>streptogramin</w:t>
      </w:r>
      <w:r w:rsidR="008203FB">
        <w:rPr>
          <w:color w:val="000000"/>
        </w:rPr>
        <w:t>u</w:t>
      </w:r>
      <w:proofErr w:type="spellEnd"/>
      <w:r>
        <w:rPr>
          <w:color w:val="000000"/>
        </w:rPr>
        <w:t xml:space="preserve"> B. Použití veterinárního léčivého přípravku by mělo být pečlivě zváženo, pokud testování citlivosti prokázalo rezistenci na </w:t>
      </w:r>
      <w:proofErr w:type="spellStart"/>
      <w:r>
        <w:rPr>
          <w:color w:val="000000"/>
        </w:rPr>
        <w:t>linkosamidy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makrolidy</w:t>
      </w:r>
      <w:proofErr w:type="spellEnd"/>
      <w:r>
        <w:rPr>
          <w:color w:val="000000"/>
        </w:rPr>
        <w:t xml:space="preserve"> a </w:t>
      </w:r>
      <w:proofErr w:type="spellStart"/>
      <w:r>
        <w:rPr>
          <w:color w:val="000000"/>
        </w:rPr>
        <w:t>streptogramin</w:t>
      </w:r>
      <w:proofErr w:type="spellEnd"/>
      <w:r>
        <w:rPr>
          <w:color w:val="000000"/>
        </w:rPr>
        <w:t> B, protože jeho účinnost může být snížena.</w:t>
      </w:r>
    </w:p>
    <w:bookmarkEnd w:id="6"/>
    <w:p w14:paraId="41CB799C" w14:textId="77777777" w:rsidR="008072FE" w:rsidRPr="00C80222" w:rsidRDefault="008072FE">
      <w:pPr>
        <w:tabs>
          <w:tab w:val="clear" w:pos="567"/>
        </w:tabs>
        <w:spacing w:line="240" w:lineRule="auto"/>
        <w:rPr>
          <w:szCs w:val="22"/>
        </w:rPr>
      </w:pPr>
    </w:p>
    <w:p w14:paraId="482BD636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3.5</w:t>
      </w:r>
      <w:r>
        <w:rPr>
          <w:b/>
        </w:rPr>
        <w:tab/>
        <w:t>Zvláštní opatření pro použití</w:t>
      </w:r>
    </w:p>
    <w:p w14:paraId="54C5A62A" w14:textId="77777777" w:rsidR="00C114FF" w:rsidRPr="00C802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847D36" w14:textId="77777777" w:rsidR="00C114FF" w:rsidRPr="00C80222" w:rsidRDefault="000908E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7" w:name="_Hlk168396046"/>
      <w:r>
        <w:rPr>
          <w:u w:val="single"/>
        </w:rPr>
        <w:t>Zvláštní opatření pro bezpečné použití u cílových druhů zvířat:</w:t>
      </w:r>
    </w:p>
    <w:p w14:paraId="520CEB87" w14:textId="70E18117" w:rsidR="001D15DB" w:rsidRDefault="00334CCB" w:rsidP="001D15D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Použití veterinárního léčivého přípravku by mělo být založeno na identifikaci a </w:t>
      </w:r>
      <w:r w:rsidR="008203FB">
        <w:t>výsledku stanovení</w:t>
      </w:r>
      <w:r>
        <w:t xml:space="preserve"> citlivosti cílového patogenu (patogenů). </w:t>
      </w:r>
      <w:bookmarkStart w:id="8" w:name="_Hlk201676652"/>
      <w:r>
        <w:t xml:space="preserve">Citlivost </w:t>
      </w:r>
      <w:proofErr w:type="spellStart"/>
      <w:r>
        <w:rPr>
          <w:i/>
        </w:rPr>
        <w:t>Mycoplasma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hyopneumoniae</w:t>
      </w:r>
      <w:proofErr w:type="spellEnd"/>
      <w:r>
        <w:t xml:space="preserve"> na antimikrobní látky je z důvodu technických omezení obtížné testovat </w:t>
      </w:r>
      <w:r>
        <w:rPr>
          <w:i/>
        </w:rPr>
        <w:t>in vitro</w:t>
      </w:r>
      <w:r>
        <w:t xml:space="preserve">. </w:t>
      </w:r>
      <w:bookmarkEnd w:id="8"/>
      <w:r>
        <w:t xml:space="preserve">Kromě toho chybí klinické </w:t>
      </w:r>
      <w:bookmarkStart w:id="9" w:name="_Hlk215834433"/>
      <w:r w:rsidR="008203FB">
        <w:t xml:space="preserve">hraniční hodnoty pro interpretaci citlivosti </w:t>
      </w:r>
      <w:bookmarkEnd w:id="9"/>
      <w:r>
        <w:t xml:space="preserve">jak pro </w:t>
      </w:r>
      <w:r>
        <w:rPr>
          <w:i/>
        </w:rPr>
        <w:t xml:space="preserve">M. </w:t>
      </w:r>
      <w:proofErr w:type="spellStart"/>
      <w:r>
        <w:rPr>
          <w:i/>
        </w:rPr>
        <w:t>hyopneumoniae</w:t>
      </w:r>
      <w:proofErr w:type="spellEnd"/>
      <w:r>
        <w:t xml:space="preserve">, tak pro </w:t>
      </w:r>
      <w:r>
        <w:rPr>
          <w:i/>
        </w:rPr>
        <w:t xml:space="preserve">C. </w:t>
      </w:r>
      <w:proofErr w:type="spellStart"/>
      <w:r>
        <w:rPr>
          <w:i/>
        </w:rPr>
        <w:t>perfringens</w:t>
      </w:r>
      <w:proofErr w:type="spellEnd"/>
      <w:r>
        <w:t>. P</w:t>
      </w:r>
      <w:r w:rsidR="008203FB">
        <w:t>roto, p</w:t>
      </w:r>
      <w:r>
        <w:t xml:space="preserve">okud </w:t>
      </w:r>
      <w:r w:rsidR="006D2866">
        <w:t>nejsou k dispozici výsledky stanovení citlivosti</w:t>
      </w:r>
      <w:r>
        <w:t xml:space="preserve">, měla by být léčba založena na </w:t>
      </w:r>
      <w:proofErr w:type="spellStart"/>
      <w:r>
        <w:t>epi</w:t>
      </w:r>
      <w:r w:rsidR="006D2866">
        <w:t>zoot</w:t>
      </w:r>
      <w:r>
        <w:t>ologických</w:t>
      </w:r>
      <w:proofErr w:type="spellEnd"/>
      <w:r>
        <w:t xml:space="preserve"> informacích a znalostech citlivosti cílových patogenů na úrovni farmy nebo na místní/regionální úrovni. Použití veterinárního léčivého přípravku by mělo být v souladu s oficiálními, národními a regionálními antimikrobními politikami. </w:t>
      </w:r>
    </w:p>
    <w:p w14:paraId="0B3BBD3D" w14:textId="0E7094BD" w:rsidR="00334CCB" w:rsidRPr="00CA197A" w:rsidRDefault="006811D1" w:rsidP="00334CC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Pro léčbu první volby by mělo být použito antibiotikum s nižším rizikem selekce antimikrobní rezistence (nižší kategorie AMEG), pokud testování citlivosti naznačuje pravděpodobnou účinnost tohoto přístupu. Opakovanému nebo dlouhodobému používání je třeba předcházet zlepšením </w:t>
      </w:r>
      <w:r w:rsidR="006D2866">
        <w:t xml:space="preserve">řízení </w:t>
      </w:r>
      <w:r>
        <w:t>chovu a hygienických postupů v hospodářství.</w:t>
      </w:r>
    </w:p>
    <w:p w14:paraId="0426CC89" w14:textId="6FD30EE4" w:rsidR="006811D1" w:rsidRDefault="00490D44" w:rsidP="00152E8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Antimikrobní léčivé přípravky se používají k </w:t>
      </w:r>
      <w:proofErr w:type="spellStart"/>
      <w:r>
        <w:t>metafylaxi</w:t>
      </w:r>
      <w:proofErr w:type="spellEnd"/>
      <w:r>
        <w:t xml:space="preserve"> pouze v případě, že existuje vysoké riziko šíření infekce nebo infekční</w:t>
      </w:r>
      <w:r w:rsidR="006D2866">
        <w:t>ho onemocnění</w:t>
      </w:r>
      <w:r>
        <w:t xml:space="preserve"> ve skupině</w:t>
      </w:r>
      <w:r w:rsidR="00EF547A">
        <w:t>/hejnu</w:t>
      </w:r>
      <w:r>
        <w:t xml:space="preserve"> zvířat a nejsou k dispozici žádné jiné vhodné alternativy.</w:t>
      </w:r>
    </w:p>
    <w:p w14:paraId="5DBDB839" w14:textId="77777777" w:rsidR="00490D44" w:rsidRPr="00C80222" w:rsidRDefault="00490D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AE2B64" w14:textId="77777777" w:rsidR="00C114FF" w:rsidRPr="00C80222" w:rsidRDefault="000908E1" w:rsidP="006D11B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bookmarkEnd w:id="7"/>
    <w:p w14:paraId="2F62B56E" w14:textId="51D4A8FA" w:rsidR="00334CCB" w:rsidRPr="00C80222" w:rsidRDefault="00334CCB" w:rsidP="00334CC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veterinární léčivý přípravek obsahuje </w:t>
      </w:r>
      <w:proofErr w:type="spellStart"/>
      <w:r>
        <w:t>linkomycin</w:t>
      </w:r>
      <w:proofErr w:type="spellEnd"/>
      <w:r>
        <w:t xml:space="preserve"> a laktózu </w:t>
      </w:r>
      <w:proofErr w:type="spellStart"/>
      <w:r>
        <w:t>monohydrát</w:t>
      </w:r>
      <w:proofErr w:type="spellEnd"/>
      <w:r>
        <w:t xml:space="preserve">, které mohou u některých osob vyvolat alergické reakce. Osoby se známou přecitlivělostí na </w:t>
      </w:r>
      <w:proofErr w:type="spellStart"/>
      <w:r>
        <w:t>linkomycin</w:t>
      </w:r>
      <w:proofErr w:type="spellEnd"/>
      <w:r>
        <w:t xml:space="preserve"> nebo jak</w:t>
      </w:r>
      <w:r w:rsidR="00E6134E">
        <w:t>ý</w:t>
      </w:r>
      <w:r>
        <w:t>koli jin</w:t>
      </w:r>
      <w:r w:rsidR="00E6134E">
        <w:t>ý</w:t>
      </w:r>
      <w:r>
        <w:t xml:space="preserve"> </w:t>
      </w:r>
      <w:proofErr w:type="spellStart"/>
      <w:r>
        <w:t>linkosamid</w:t>
      </w:r>
      <w:proofErr w:type="spellEnd"/>
      <w:r>
        <w:t xml:space="preserve"> nebo laktózu </w:t>
      </w:r>
      <w:proofErr w:type="spellStart"/>
      <w:r>
        <w:t>monohydrát</w:t>
      </w:r>
      <w:proofErr w:type="spellEnd"/>
      <w:r>
        <w:t xml:space="preserve"> by se měly vy</w:t>
      </w:r>
      <w:r w:rsidR="00E6134E">
        <w:t>hnout</w:t>
      </w:r>
      <w:r>
        <w:t xml:space="preserve"> kontaktu s tímto veterinárním léčivým přípravkem.</w:t>
      </w:r>
    </w:p>
    <w:p w14:paraId="78D70CE8" w14:textId="6663609A" w:rsidR="00334CCB" w:rsidRPr="00C80222" w:rsidRDefault="00E6134E" w:rsidP="00334CC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Zabraňte víření a vdechování </w:t>
      </w:r>
      <w:r w:rsidR="00334CCB">
        <w:t>prach</w:t>
      </w:r>
      <w:r>
        <w:t>u</w:t>
      </w:r>
      <w:r w:rsidR="00334CCB">
        <w:t>.</w:t>
      </w:r>
    </w:p>
    <w:p w14:paraId="6D171937" w14:textId="2E88C6FA" w:rsidR="00334CCB" w:rsidRPr="00C80222" w:rsidRDefault="00334CCB" w:rsidP="00334CC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</w:t>
      </w:r>
      <w:r w:rsidR="00E6134E">
        <w:t xml:space="preserve">braňte kontaktu </w:t>
      </w:r>
      <w:r>
        <w:t>s kůží a očima.</w:t>
      </w:r>
    </w:p>
    <w:p w14:paraId="5DB52796" w14:textId="3604B7F0" w:rsidR="00334CCB" w:rsidRPr="00C80222" w:rsidRDefault="00334CCB" w:rsidP="00334CC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Při </w:t>
      </w:r>
      <w:r w:rsidR="00E6134E">
        <w:t xml:space="preserve">nakládání s veterinárním léčivým přípravkem </w:t>
      </w:r>
      <w:r>
        <w:t>a </w:t>
      </w:r>
      <w:r w:rsidR="00E6134E">
        <w:t xml:space="preserve">jeho </w:t>
      </w:r>
      <w:r>
        <w:t xml:space="preserve">míchání </w:t>
      </w:r>
      <w:r w:rsidR="00E6134E">
        <w:t xml:space="preserve">by se měly používat </w:t>
      </w:r>
      <w:r>
        <w:t>osobní ochranné prostředky s</w:t>
      </w:r>
      <w:r w:rsidR="00E6134E">
        <w:t xml:space="preserve">kládající se </w:t>
      </w:r>
      <w:r>
        <w:t>z</w:t>
      </w:r>
      <w:r w:rsidR="00E6134E">
        <w:t>e</w:t>
      </w:r>
      <w:r>
        <w:t xml:space="preserve"> schválených protiprachových masek (jednorázová polomaska splňující evropskou normu EN149 nebo opakovaně použitelný respirátor splňující evropskou normu EN140 s filtrem splňujícím normu EN143), rukavic a ochrann</w:t>
      </w:r>
      <w:r w:rsidR="00303989">
        <w:t>ých</w:t>
      </w:r>
      <w:r>
        <w:t xml:space="preserve"> brýl</w:t>
      </w:r>
      <w:r w:rsidR="00303989">
        <w:t>í</w:t>
      </w:r>
      <w:r>
        <w:t>. Pokud se po expozici objeví respirační příznaky,</w:t>
      </w:r>
      <w:r w:rsidR="00303989">
        <w:t xml:space="preserve"> </w:t>
      </w:r>
      <w:r>
        <w:t>vyhledejte lékařskou pomoc a </w:t>
      </w:r>
      <w:r w:rsidR="00303989">
        <w:t xml:space="preserve">ukažte </w:t>
      </w:r>
      <w:r>
        <w:t>lékaři toto varování.</w:t>
      </w:r>
    </w:p>
    <w:p w14:paraId="09BC7C90" w14:textId="6E113133" w:rsidR="00334CCB" w:rsidRPr="00C80222" w:rsidRDefault="00334CCB" w:rsidP="00334CC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Při náhodném </w:t>
      </w:r>
      <w:r w:rsidR="00303989">
        <w:t xml:space="preserve">kontaktu </w:t>
      </w:r>
      <w:r>
        <w:t>s kůží, očima nebo sliznicemi postižené místo důkladně omyjte velkým množstvím vody.</w:t>
      </w:r>
    </w:p>
    <w:p w14:paraId="5E13F9A8" w14:textId="60F60725" w:rsidR="00334CCB" w:rsidRPr="00C80222" w:rsidRDefault="00334CCB" w:rsidP="00334CC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Pokud se po expozici objeví příznaky, jako je kožní vyrážka nebo přetrvávající podráždění očí, vyhledejte </w:t>
      </w:r>
      <w:r w:rsidR="00303989">
        <w:t xml:space="preserve">ihned </w:t>
      </w:r>
      <w:r>
        <w:t>lékařskou pomoc a </w:t>
      </w:r>
      <w:r w:rsidR="00303989">
        <w:t xml:space="preserve">ukažte </w:t>
      </w:r>
      <w:r>
        <w:t xml:space="preserve">lékaři příbalovou informaci nebo </w:t>
      </w:r>
      <w:r w:rsidR="00303989">
        <w:t>etiketu</w:t>
      </w:r>
      <w:r>
        <w:t>.</w:t>
      </w:r>
    </w:p>
    <w:p w14:paraId="3F5D88C2" w14:textId="2BF4EAFB" w:rsidR="00334CCB" w:rsidRPr="00C80222" w:rsidRDefault="00303989" w:rsidP="00334CC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Ihned p</w:t>
      </w:r>
      <w:r w:rsidR="00334CCB">
        <w:t>o použití si umyjte ruce a veškerou exponovanou kůži mýdlem a vodou.</w:t>
      </w:r>
    </w:p>
    <w:p w14:paraId="34641948" w14:textId="64E769A3" w:rsidR="00912BAA" w:rsidRPr="001E6BA1" w:rsidRDefault="00334CCB" w:rsidP="00912BAA">
      <w:pPr>
        <w:rPr>
          <w:szCs w:val="22"/>
          <w:u w:val="single"/>
        </w:rPr>
      </w:pPr>
      <w:r>
        <w:t xml:space="preserve">Při </w:t>
      </w:r>
      <w:r w:rsidR="00303989">
        <w:t xml:space="preserve">nakládání </w:t>
      </w:r>
      <w:r>
        <w:t xml:space="preserve">s veterinárním léčivým přípravkem nejezte, nepijte a nekuřte. </w:t>
      </w:r>
      <w:bookmarkStart w:id="10" w:name="_Hlk177035506"/>
      <w:r>
        <w:t xml:space="preserve">V případě náhodného požití </w:t>
      </w:r>
      <w:bookmarkStart w:id="11" w:name="_Hlk192852359"/>
      <w:r>
        <w:t xml:space="preserve">vyhledejte </w:t>
      </w:r>
      <w:r w:rsidR="00303989">
        <w:t xml:space="preserve">ihned </w:t>
      </w:r>
      <w:r>
        <w:t xml:space="preserve">lékařskou pomoc a ukažte příbalovou informaci nebo </w:t>
      </w:r>
      <w:r w:rsidR="00303989">
        <w:t>etiketu</w:t>
      </w:r>
      <w:r w:rsidR="00303989" w:rsidRPr="00303989">
        <w:t xml:space="preserve"> </w:t>
      </w:r>
      <w:r w:rsidR="00303989">
        <w:t>praktickému lékaři</w:t>
      </w:r>
      <w:r>
        <w:t>.</w:t>
      </w:r>
    </w:p>
    <w:bookmarkEnd w:id="10"/>
    <w:bookmarkEnd w:id="11"/>
    <w:p w14:paraId="02545572" w14:textId="7E96C40E" w:rsidR="00334CCB" w:rsidRPr="00C80222" w:rsidRDefault="00334CCB" w:rsidP="00334CC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E03FDD" w14:textId="77777777" w:rsidR="00295140" w:rsidRPr="006135DE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ochranu životního prostředí</w:t>
      </w:r>
      <w:r>
        <w:t>:</w:t>
      </w:r>
    </w:p>
    <w:p w14:paraId="627945D6" w14:textId="3086FF63" w:rsidR="00000472" w:rsidRPr="00000472" w:rsidRDefault="005A4ABA" w:rsidP="0000047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2" w:name="_Hlk176959389"/>
      <w:r>
        <w:t>Neuplatňuje se.</w:t>
      </w:r>
    </w:p>
    <w:bookmarkEnd w:id="12"/>
    <w:p w14:paraId="3FD61E8F" w14:textId="77777777" w:rsidR="0029514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F1870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3.6</w:t>
      </w:r>
      <w:r>
        <w:rPr>
          <w:b/>
        </w:rPr>
        <w:tab/>
        <w:t>Nežádoucí účinky</w:t>
      </w:r>
    </w:p>
    <w:p w14:paraId="1F3934EA" w14:textId="77777777" w:rsidR="00295140" w:rsidRPr="00C802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157A6C2" w14:textId="4FCA7D5C" w:rsidR="00295140" w:rsidRPr="0029601B" w:rsidRDefault="00C34D9B" w:rsidP="00295140">
      <w:pPr>
        <w:rPr>
          <w:szCs w:val="22"/>
          <w:u w:val="single"/>
        </w:rPr>
      </w:pPr>
      <w:bookmarkStart w:id="13" w:name="_Hlk168396698"/>
      <w:r>
        <w:rPr>
          <w:u w:val="single"/>
        </w:rPr>
        <w:t>Prasata:</w:t>
      </w:r>
    </w:p>
    <w:p w14:paraId="0A6AF837" w14:textId="77777777" w:rsidR="00C34D9B" w:rsidRPr="00C80222" w:rsidRDefault="00C34D9B" w:rsidP="00295140">
      <w:pPr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C34D9B" w:rsidRPr="00C80222" w14:paraId="5054E5A0" w14:textId="77777777" w:rsidTr="00C270AF">
        <w:tc>
          <w:tcPr>
            <w:tcW w:w="4248" w:type="dxa"/>
          </w:tcPr>
          <w:p w14:paraId="4F62CF6E" w14:textId="77777777" w:rsidR="00C34D9B" w:rsidRPr="00C80222" w:rsidRDefault="00C34D9B" w:rsidP="00295140">
            <w:pPr>
              <w:rPr>
                <w:szCs w:val="22"/>
              </w:rPr>
            </w:pPr>
            <w:r>
              <w:t>Vzácné</w:t>
            </w:r>
          </w:p>
          <w:p w14:paraId="526C4F69" w14:textId="56EA933F" w:rsidR="00C34D9B" w:rsidRPr="00C80222" w:rsidRDefault="00C34D9B" w:rsidP="00295140">
            <w:pPr>
              <w:rPr>
                <w:szCs w:val="22"/>
              </w:rPr>
            </w:pPr>
            <w:r>
              <w:t>(1 až 10 zvířat / 10 000 ošetřených zvířat):</w:t>
            </w:r>
          </w:p>
        </w:tc>
        <w:tc>
          <w:tcPr>
            <w:tcW w:w="4813" w:type="dxa"/>
          </w:tcPr>
          <w:p w14:paraId="634CC9DF" w14:textId="378498A1" w:rsidR="00F8108C" w:rsidRDefault="00D1393D" w:rsidP="006D11BE">
            <w:pPr>
              <w:rPr>
                <w:szCs w:val="22"/>
              </w:rPr>
            </w:pPr>
            <w:r>
              <w:t>Podrážděnost</w:t>
            </w:r>
            <w:r>
              <w:rPr>
                <w:vertAlign w:val="superscript"/>
              </w:rPr>
              <w:t>1, 2</w:t>
            </w:r>
          </w:p>
          <w:p w14:paraId="45D84D41" w14:textId="77777777" w:rsidR="00DD694B" w:rsidRDefault="00025EC2" w:rsidP="006D11BE">
            <w:pPr>
              <w:rPr>
                <w:szCs w:val="22"/>
                <w:vertAlign w:val="superscript"/>
              </w:rPr>
            </w:pPr>
            <w:r>
              <w:t>Průjem</w:t>
            </w:r>
            <w:r>
              <w:rPr>
                <w:vertAlign w:val="superscript"/>
              </w:rPr>
              <w:t>3</w:t>
            </w:r>
          </w:p>
          <w:p w14:paraId="7AFA17CA" w14:textId="408782C2" w:rsidR="00DD694B" w:rsidRDefault="00DD694B" w:rsidP="00DD694B">
            <w:pPr>
              <w:rPr>
                <w:szCs w:val="22"/>
              </w:rPr>
            </w:pPr>
            <w:r>
              <w:t>Hypersenzitivní reakce, edém v oblasti konečníku</w:t>
            </w:r>
          </w:p>
          <w:p w14:paraId="1C29D707" w14:textId="0EDE72FA" w:rsidR="00DD694B" w:rsidRPr="00C80222" w:rsidRDefault="00DD694B" w:rsidP="00DD694B">
            <w:pPr>
              <w:rPr>
                <w:szCs w:val="22"/>
              </w:rPr>
            </w:pPr>
            <w:r>
              <w:t>(otok)</w:t>
            </w:r>
            <w:r>
              <w:rPr>
                <w:vertAlign w:val="superscript"/>
              </w:rPr>
              <w:t>3, 4</w:t>
            </w:r>
          </w:p>
          <w:p w14:paraId="202F441E" w14:textId="6DD0BCC4" w:rsidR="00C80222" w:rsidRPr="00C80222" w:rsidRDefault="00C80222" w:rsidP="00DD694B">
            <w:pPr>
              <w:rPr>
                <w:szCs w:val="22"/>
              </w:rPr>
            </w:pPr>
            <w:bookmarkStart w:id="14" w:name="_Hlk175293859"/>
            <w:r>
              <w:t xml:space="preserve">Zčervenání </w:t>
            </w:r>
            <w:bookmarkEnd w:id="14"/>
            <w:r>
              <w:t>kůže</w:t>
            </w:r>
            <w:r>
              <w:rPr>
                <w:vertAlign w:val="superscript"/>
              </w:rPr>
              <w:t>1</w:t>
            </w:r>
          </w:p>
        </w:tc>
      </w:tr>
    </w:tbl>
    <w:p w14:paraId="164F9D4F" w14:textId="70C68992" w:rsidR="00025EC2" w:rsidRDefault="00DD694B" w:rsidP="00295140">
      <w:pPr>
        <w:rPr>
          <w:szCs w:val="22"/>
        </w:rPr>
      </w:pPr>
      <w:r>
        <w:rPr>
          <w:vertAlign w:val="superscript"/>
        </w:rPr>
        <w:t xml:space="preserve">1 </w:t>
      </w:r>
      <w:r>
        <w:t xml:space="preserve">Obvykle spontánně vymizí během 5–8 dnů bez přerušení léčby </w:t>
      </w:r>
      <w:proofErr w:type="spellStart"/>
      <w:r>
        <w:t>linkomycinem</w:t>
      </w:r>
      <w:proofErr w:type="spellEnd"/>
    </w:p>
    <w:p w14:paraId="17545D10" w14:textId="75C1DD39" w:rsidR="00DD694B" w:rsidRDefault="00C41FD7" w:rsidP="00DD694B">
      <w:pPr>
        <w:rPr>
          <w:szCs w:val="22"/>
        </w:rPr>
      </w:pPr>
      <w:r>
        <w:rPr>
          <w:vertAlign w:val="superscript"/>
        </w:rPr>
        <w:t xml:space="preserve">2 </w:t>
      </w:r>
      <w:r>
        <w:t>Mírná, behaviorální.</w:t>
      </w:r>
    </w:p>
    <w:p w14:paraId="069B25AA" w14:textId="67118447" w:rsidR="00C270AF" w:rsidRDefault="00C270AF" w:rsidP="00295140">
      <w:pPr>
        <w:rPr>
          <w:szCs w:val="22"/>
        </w:rPr>
      </w:pPr>
      <w:r>
        <w:rPr>
          <w:vertAlign w:val="superscript"/>
        </w:rPr>
        <w:t xml:space="preserve">3 </w:t>
      </w:r>
      <w:r>
        <w:t>Během prvních 2 dnů po zahájení léčby.</w:t>
      </w:r>
    </w:p>
    <w:p w14:paraId="16585793" w14:textId="4BC260CD" w:rsidR="00C41FD7" w:rsidRDefault="00C41FD7" w:rsidP="00295140">
      <w:pPr>
        <w:rPr>
          <w:szCs w:val="22"/>
        </w:rPr>
      </w:pPr>
      <w:r>
        <w:rPr>
          <w:vertAlign w:val="superscript"/>
        </w:rPr>
        <w:t xml:space="preserve">4 </w:t>
      </w:r>
      <w:r>
        <w:t>Mírná</w:t>
      </w:r>
    </w:p>
    <w:p w14:paraId="4DFC265E" w14:textId="77777777" w:rsidR="00C34D9B" w:rsidRPr="00C80222" w:rsidRDefault="00C34D9B" w:rsidP="00295140">
      <w:pPr>
        <w:rPr>
          <w:szCs w:val="22"/>
        </w:rPr>
      </w:pPr>
    </w:p>
    <w:p w14:paraId="2FFC0A67" w14:textId="4B5C6EE1" w:rsidR="00C34D9B" w:rsidRPr="0029601B" w:rsidRDefault="0029601B" w:rsidP="00295140">
      <w:pPr>
        <w:rPr>
          <w:szCs w:val="22"/>
          <w:u w:val="single"/>
        </w:rPr>
      </w:pPr>
      <w:r>
        <w:rPr>
          <w:u w:val="single"/>
        </w:rPr>
        <w:t>Ku</w:t>
      </w:r>
      <w:r w:rsidR="008203FB">
        <w:rPr>
          <w:u w:val="single"/>
        </w:rPr>
        <w:t>r domácí</w:t>
      </w:r>
      <w:r>
        <w:rPr>
          <w:u w:val="single"/>
        </w:rPr>
        <w:t>:</w:t>
      </w:r>
    </w:p>
    <w:p w14:paraId="4BC419C9" w14:textId="1FE9F497" w:rsidR="0029601B" w:rsidRPr="00C80222" w:rsidRDefault="0029601B" w:rsidP="00295140">
      <w:pPr>
        <w:rPr>
          <w:szCs w:val="22"/>
        </w:rPr>
      </w:pPr>
      <w:r>
        <w:t>Nejsou známy.</w:t>
      </w:r>
    </w:p>
    <w:p w14:paraId="72B2640B" w14:textId="77777777" w:rsidR="00295140" w:rsidRPr="00C802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69C87F9" w14:textId="0098520A" w:rsidR="00A95E81" w:rsidRPr="00C80222" w:rsidRDefault="000908E1" w:rsidP="00247A48">
      <w:pPr>
        <w:rPr>
          <w:szCs w:val="22"/>
        </w:rPr>
      </w:pPr>
      <w:bookmarkStart w:id="15" w:name="_Hlk66891708"/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End w:id="13"/>
      <w:r>
        <w:t>Podrobné kontaktní údaje naleznete v příbalové informaci.</w:t>
      </w:r>
    </w:p>
    <w:p w14:paraId="40D30521" w14:textId="77777777" w:rsidR="00F709CE" w:rsidRPr="00C80222" w:rsidRDefault="00F709CE" w:rsidP="00247A48">
      <w:pPr>
        <w:rPr>
          <w:szCs w:val="22"/>
        </w:rPr>
      </w:pPr>
    </w:p>
    <w:bookmarkEnd w:id="15"/>
    <w:p w14:paraId="600CF330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Použití v průběhu březosti, laktace nebo snášky</w:t>
      </w:r>
    </w:p>
    <w:p w14:paraId="6BDA6F0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3F7A23" w14:textId="092542A3" w:rsidR="00395491" w:rsidRPr="00C80222" w:rsidRDefault="00395491" w:rsidP="0039549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16" w:name="_Hlk192853299"/>
      <w:r>
        <w:t>Nebyla stanovena bezpečnost veterinárního léčivého během březosti, laktace ani snášky.</w:t>
      </w:r>
    </w:p>
    <w:bookmarkEnd w:id="16"/>
    <w:p w14:paraId="22E4528C" w14:textId="77777777" w:rsidR="00395491" w:rsidRPr="00C80222" w:rsidRDefault="0039549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ACFBD7" w14:textId="245F3E2C" w:rsidR="00887E9C" w:rsidRPr="00C270AF" w:rsidRDefault="00887E9C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17" w:name="_Hlk168396320"/>
      <w:r>
        <w:rPr>
          <w:u w:val="single"/>
        </w:rPr>
        <w:t>Březost a laktace:</w:t>
      </w:r>
    </w:p>
    <w:p w14:paraId="3D8A2BDE" w14:textId="1385C5DB" w:rsidR="006D11BE" w:rsidRPr="006135DE" w:rsidRDefault="006D11BE" w:rsidP="006D11BE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Laboratorní studie na potkanech ne</w:t>
      </w:r>
      <w:r w:rsidR="00A2591F">
        <w:t>podaly důkaz o</w:t>
      </w:r>
      <w:r>
        <w:t xml:space="preserve"> teratogenní</w:t>
      </w:r>
      <w:r w:rsidR="00EF547A">
        <w:t>ch</w:t>
      </w:r>
      <w:r>
        <w:t xml:space="preserve"> účin</w:t>
      </w:r>
      <w:r w:rsidR="00EF547A">
        <w:t>cích</w:t>
      </w:r>
      <w:r>
        <w:t xml:space="preserve">, byla však hlášena </w:t>
      </w:r>
      <w:proofErr w:type="spellStart"/>
      <w:r>
        <w:t>fetotoxicita</w:t>
      </w:r>
      <w:proofErr w:type="spellEnd"/>
      <w:r>
        <w:t>.</w:t>
      </w:r>
    </w:p>
    <w:p w14:paraId="4AED1B15" w14:textId="7F179683" w:rsidR="00DD4F61" w:rsidRPr="00C80222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Použít pouze po zvážení terapeutického prospěchu a rizika příslušným veterinárním lékařem.</w:t>
      </w:r>
    </w:p>
    <w:bookmarkEnd w:id="17"/>
    <w:p w14:paraId="629567C8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A9468" w14:textId="2E1EAE88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3.8</w:t>
      </w:r>
      <w:r w:rsidR="00AD2725">
        <w:rPr>
          <w:b/>
        </w:rPr>
        <w:tab/>
      </w:r>
      <w:r>
        <w:rPr>
          <w:b/>
        </w:rPr>
        <w:t>Interakce s jinými léčivými přípravky a další formy interakce</w:t>
      </w:r>
    </w:p>
    <w:p w14:paraId="3D1C0FE1" w14:textId="77777777" w:rsidR="00C114FF" w:rsidRPr="00C802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6B6A6F" w14:textId="53783190" w:rsidR="0010207F" w:rsidRPr="00C80222" w:rsidRDefault="0010207F" w:rsidP="0010207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8" w:name="_Hlk215835163"/>
      <w:r>
        <w:t>Mezi</w:t>
      </w:r>
      <w:r w:rsidR="00A2591F">
        <w:t xml:space="preserve"> baktericidními antibiotiky, či </w:t>
      </w:r>
      <w:r w:rsidR="00EF547A">
        <w:t xml:space="preserve">mezi </w:t>
      </w:r>
      <w:proofErr w:type="spellStart"/>
      <w:r w:rsidR="00A2591F">
        <w:t>makrolidy</w:t>
      </w:r>
      <w:proofErr w:type="spellEnd"/>
      <w:r w:rsidR="00A2591F">
        <w:t xml:space="preserve"> (jako je </w:t>
      </w:r>
      <w:proofErr w:type="spellStart"/>
      <w:r w:rsidR="00A2591F">
        <w:t>erythromycin</w:t>
      </w:r>
      <w:proofErr w:type="spellEnd"/>
      <w:r w:rsidR="00A2591F">
        <w:t xml:space="preserve">) a </w:t>
      </w:r>
      <w:proofErr w:type="spellStart"/>
      <w:r w:rsidR="00A2591F">
        <w:t>linkosamidy</w:t>
      </w:r>
      <w:bookmarkEnd w:id="18"/>
      <w:proofErr w:type="spellEnd"/>
      <w:r>
        <w:t xml:space="preserve">, může existovat antagonismus; současné použití se proto nedoporučuje z důvodu kompetitivní vazby na </w:t>
      </w:r>
      <w:proofErr w:type="gramStart"/>
      <w:r>
        <w:t>50S</w:t>
      </w:r>
      <w:proofErr w:type="gramEnd"/>
      <w:r>
        <w:t xml:space="preserve"> ribozomální podjednotku bakteriální buňky.</w:t>
      </w:r>
    </w:p>
    <w:p w14:paraId="72DEFE29" w14:textId="77777777" w:rsidR="0010207F" w:rsidRPr="00C80222" w:rsidRDefault="0010207F" w:rsidP="001020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Biologická dostupnost </w:t>
      </w:r>
      <w:proofErr w:type="spellStart"/>
      <w:r>
        <w:t>linkomycinu</w:t>
      </w:r>
      <w:proofErr w:type="spellEnd"/>
      <w:r>
        <w:t xml:space="preserve"> se může snížit v přítomnosti žaludečních antacid, aktivního uhlí, pektinu nebo kaolinu.</w:t>
      </w:r>
    </w:p>
    <w:p w14:paraId="6FC962ED" w14:textId="77777777" w:rsidR="0010207F" w:rsidRPr="00C80222" w:rsidRDefault="0010207F" w:rsidP="0010207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Linkomycin</w:t>
      </w:r>
      <w:proofErr w:type="spellEnd"/>
      <w:r>
        <w:t xml:space="preserve"> může zesilovat neuromuskulární účinky anestetik a svalových relaxancií.</w:t>
      </w:r>
    </w:p>
    <w:p w14:paraId="35255A0A" w14:textId="45124DBC" w:rsidR="00C57FC4" w:rsidRPr="00C57FC4" w:rsidRDefault="00C57FC4" w:rsidP="00C57FC4">
      <w:pPr>
        <w:tabs>
          <w:tab w:val="clear" w:pos="567"/>
        </w:tabs>
        <w:spacing w:line="240" w:lineRule="auto"/>
        <w:jc w:val="both"/>
      </w:pPr>
      <w:r w:rsidRPr="00C57FC4">
        <w:t>.</w:t>
      </w:r>
    </w:p>
    <w:p w14:paraId="49A3F2FC" w14:textId="77777777" w:rsidR="005D419B" w:rsidRPr="00C80222" w:rsidRDefault="005D41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65267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podání a dávkování</w:t>
      </w:r>
    </w:p>
    <w:p w14:paraId="3CD43A72" w14:textId="77777777" w:rsidR="00145D34" w:rsidRPr="00C802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8327F9" w14:textId="532E6545" w:rsidR="009A6E1A" w:rsidRPr="00C80222" w:rsidRDefault="00F756F1" w:rsidP="009A6E1A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19" w:name="_Hlk168475528"/>
      <w:r>
        <w:t>Podání v pitné vodě.</w:t>
      </w:r>
    </w:p>
    <w:p w14:paraId="3ADECD3D" w14:textId="77777777" w:rsidR="009A6E1A" w:rsidRPr="00C80222" w:rsidRDefault="009A6E1A" w:rsidP="009A6E1A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733A3FF" w14:textId="67F9A284" w:rsidR="009A6E1A" w:rsidRPr="00C80222" w:rsidRDefault="006135DE" w:rsidP="009A6E1A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Doporučené dávky:</w:t>
      </w:r>
    </w:p>
    <w:p w14:paraId="543BD416" w14:textId="77777777" w:rsidR="006135DE" w:rsidRPr="00C80222" w:rsidRDefault="006135DE" w:rsidP="006135DE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6443D77" w14:textId="77777777" w:rsidR="006135DE" w:rsidRPr="00C80222" w:rsidRDefault="006135DE" w:rsidP="006135D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u w:val="single"/>
        </w:rPr>
        <w:t>Prasata</w:t>
      </w:r>
      <w:r>
        <w:t>:</w:t>
      </w:r>
    </w:p>
    <w:p w14:paraId="52F6C02B" w14:textId="40205E61" w:rsidR="006135DE" w:rsidRPr="00C80222" w:rsidRDefault="006135DE" w:rsidP="006135D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Enzootická pneumonie: 10 mg </w:t>
      </w:r>
      <w:proofErr w:type="spellStart"/>
      <w:r>
        <w:t>linkomycinu</w:t>
      </w:r>
      <w:proofErr w:type="spellEnd"/>
      <w:r>
        <w:t xml:space="preserve"> na kg </w:t>
      </w:r>
      <w:r w:rsidR="00FA2D2E">
        <w:t xml:space="preserve">živé </w:t>
      </w:r>
      <w:r>
        <w:t>hmotnosti</w:t>
      </w:r>
      <w:r w:rsidR="0049489F">
        <w:t>/den</w:t>
      </w:r>
      <w:r>
        <w:t xml:space="preserve"> (odpovídá 25 mg veterinárního léčivého přípravku na kg </w:t>
      </w:r>
      <w:r w:rsidR="00FA2D2E">
        <w:t>živé</w:t>
      </w:r>
      <w:r>
        <w:t xml:space="preserve"> hmotnosti) po dobu 21 po sobě jdoucích dnů.</w:t>
      </w:r>
    </w:p>
    <w:p w14:paraId="5F370577" w14:textId="77777777" w:rsidR="006135DE" w:rsidRPr="00C80222" w:rsidRDefault="006135DE" w:rsidP="006135DE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CD989E2" w14:textId="34D18DA6" w:rsidR="006135DE" w:rsidRPr="00C80222" w:rsidRDefault="006135DE" w:rsidP="006135D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u w:val="single"/>
        </w:rPr>
        <w:t>Ku</w:t>
      </w:r>
      <w:r w:rsidR="008203FB">
        <w:rPr>
          <w:u w:val="single"/>
        </w:rPr>
        <w:t>r domácí</w:t>
      </w:r>
      <w:r>
        <w:t>:</w:t>
      </w:r>
    </w:p>
    <w:p w14:paraId="208B9345" w14:textId="71402CE8" w:rsidR="006135DE" w:rsidRDefault="006135DE" w:rsidP="006135DE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Nekrotická enteritida: 5 mg </w:t>
      </w:r>
      <w:proofErr w:type="spellStart"/>
      <w:r>
        <w:t>linkomycinu</w:t>
      </w:r>
      <w:proofErr w:type="spellEnd"/>
      <w:r>
        <w:t xml:space="preserve"> na kg </w:t>
      </w:r>
      <w:r w:rsidR="0049489F">
        <w:t>živé</w:t>
      </w:r>
      <w:r>
        <w:t xml:space="preserve"> hmotnosti</w:t>
      </w:r>
      <w:r w:rsidR="0049489F">
        <w:t>/den</w:t>
      </w:r>
      <w:r>
        <w:t xml:space="preserve"> (odpovídá 12,5 mg veterinárního léčivého přípravku na kg </w:t>
      </w:r>
      <w:r w:rsidR="0049489F">
        <w:t>živé</w:t>
      </w:r>
      <w:r>
        <w:t xml:space="preserve"> hmotnosti) po dobu 7 po sobě jdoucích dnů.</w:t>
      </w:r>
    </w:p>
    <w:p w14:paraId="5E510BD2" w14:textId="77777777" w:rsidR="009A6E1A" w:rsidRPr="00C80222" w:rsidRDefault="009A6E1A" w:rsidP="009A6E1A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327411B" w14:textId="6EDC9B42" w:rsidR="009A6E1A" w:rsidRPr="00C80222" w:rsidRDefault="009A6E1A" w:rsidP="009A6E1A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20" w:name="_Hlk176165489"/>
      <w:r>
        <w:t>Pro zajištění správného dávkování je třeba co nejpřesněji stanovit živou hmotnost.</w:t>
      </w:r>
    </w:p>
    <w:p w14:paraId="381594F5" w14:textId="68BAE79A" w:rsidR="009A6E1A" w:rsidRDefault="009A6E1A" w:rsidP="009A6E1A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Příjem </w:t>
      </w:r>
      <w:proofErr w:type="spellStart"/>
      <w:r>
        <w:t>medikované</w:t>
      </w:r>
      <w:proofErr w:type="spellEnd"/>
      <w:r>
        <w:t xml:space="preserve"> vody závisí na klinickém stavu zvířat. Pro dosažení správného dávkování může být nutné odpovídajícím způsobem upravit koncentraci </w:t>
      </w:r>
      <w:proofErr w:type="spellStart"/>
      <w:r>
        <w:t>linkomycinu</w:t>
      </w:r>
      <w:proofErr w:type="spellEnd"/>
      <w:r>
        <w:t>.</w:t>
      </w:r>
    </w:p>
    <w:p w14:paraId="2F004FC0" w14:textId="733ECB7E" w:rsidR="009A6E1A" w:rsidRPr="00C80222" w:rsidRDefault="0030636F" w:rsidP="009A6E1A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Doporučuje se používat vhodně kalibrované měřicí prostředky. Příjem vody je třeba často sledovat.</w:t>
      </w:r>
    </w:p>
    <w:p w14:paraId="1EF4B1A9" w14:textId="77777777" w:rsidR="009A6E1A" w:rsidRPr="00C80222" w:rsidRDefault="009A6E1A" w:rsidP="009A6E1A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201469D" w14:textId="051F6338" w:rsidR="009A6E1A" w:rsidRPr="00C80222" w:rsidRDefault="00395491" w:rsidP="009A6E1A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Na základě doporučené dávky a počtu a hmotnosti zvířat, která je třeba ošetřit, se přesná denní koncentrace veterinárního léčivého přípravku vypočítá podle následujícího vzorce:</w:t>
      </w:r>
    </w:p>
    <w:bookmarkEnd w:id="20"/>
    <w:p w14:paraId="37CE9FD6" w14:textId="77777777" w:rsidR="009A6E1A" w:rsidRPr="00C80222" w:rsidRDefault="009A6E1A" w:rsidP="009A6E1A">
      <w:pPr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562"/>
        <w:gridCol w:w="2786"/>
        <w:gridCol w:w="2684"/>
      </w:tblGrid>
      <w:tr w:rsidR="005D419B" w:rsidRPr="00C80222" w14:paraId="093A42DD" w14:textId="77777777" w:rsidTr="009A6E1A">
        <w:trPr>
          <w:trHeight w:val="315"/>
        </w:trPr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F5B141" w14:textId="4607A55C" w:rsidR="005D419B" w:rsidRPr="00C80222" w:rsidRDefault="009A6E1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mg veterinárního léčivého přípravku / kg </w:t>
            </w:r>
            <w:r w:rsidR="0049489F">
              <w:t>živé</w:t>
            </w:r>
            <w:r>
              <w:t xml:space="preserve"> hmotnosti denně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DBDA3" w14:textId="77777777" w:rsidR="005D419B" w:rsidRPr="00C80222" w:rsidRDefault="005D419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8810ACF" w14:textId="77777777" w:rsidR="005D419B" w:rsidRPr="00C80222" w:rsidRDefault="005D419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X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884C96" w14:textId="2E5F959C" w:rsidR="005D419B" w:rsidRPr="00C80222" w:rsidRDefault="0039549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průměrná </w:t>
            </w:r>
            <w:r w:rsidR="0049489F">
              <w:t>živá</w:t>
            </w:r>
            <w:r>
              <w:t xml:space="preserve"> hmotnost (kg) léčených zvířat</w:t>
            </w:r>
          </w:p>
        </w:tc>
        <w:tc>
          <w:tcPr>
            <w:tcW w:w="2684" w:type="dxa"/>
            <w:vMerge w:val="restart"/>
            <w:vAlign w:val="bottom"/>
          </w:tcPr>
          <w:p w14:paraId="5CEF08D5" w14:textId="77777777" w:rsidR="005D419B" w:rsidRPr="00C80222" w:rsidRDefault="005D419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5932B443" w14:textId="5A29BCED" w:rsidR="005D419B" w:rsidRPr="00C80222" w:rsidRDefault="005D419B" w:rsidP="0039549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= mg veterinárního léčivého přípravku na litr pitné vody</w:t>
            </w:r>
          </w:p>
        </w:tc>
      </w:tr>
      <w:tr w:rsidR="005D419B" w:rsidRPr="00C80222" w14:paraId="4874561A" w14:textId="77777777" w:rsidTr="009A6E1A">
        <w:trPr>
          <w:trHeight w:val="641"/>
        </w:trPr>
        <w:tc>
          <w:tcPr>
            <w:tcW w:w="6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23C791" w14:textId="184E02E8" w:rsidR="005D419B" w:rsidRPr="00C80222" w:rsidRDefault="005D419B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průměrný denní příjem vody (l/zvíře)</w:t>
            </w:r>
          </w:p>
        </w:tc>
        <w:tc>
          <w:tcPr>
            <w:tcW w:w="0" w:type="auto"/>
            <w:vMerge/>
            <w:vAlign w:val="bottom"/>
            <w:hideMark/>
          </w:tcPr>
          <w:p w14:paraId="46ABD0C1" w14:textId="77777777" w:rsidR="005D419B" w:rsidRPr="00C80222" w:rsidRDefault="005D419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bookmarkEnd w:id="19"/>
    </w:tbl>
    <w:p w14:paraId="784AB544" w14:textId="77777777" w:rsidR="00CA197A" w:rsidRDefault="00CA197A" w:rsidP="0030636F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919752B" w14:textId="77777777" w:rsidR="00ED41D8" w:rsidRPr="007D7C20" w:rsidRDefault="00ED41D8" w:rsidP="007D7C20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21" w:name="_Hlk192853384"/>
      <w:r>
        <w:lastRenderedPageBreak/>
        <w:t xml:space="preserve">Je třeba zajistit úplné rozpuštění veterinárního léčivého přípravku. </w:t>
      </w:r>
    </w:p>
    <w:p w14:paraId="50B0B874" w14:textId="77777777" w:rsidR="00ED41D8" w:rsidRPr="007D7C20" w:rsidRDefault="00ED41D8" w:rsidP="007D7C2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Maximální rozpustnost veterinárního léčivého přípravku v měkké/tvrdé vodě je 50 g/l při teplotě 20 °C a 15 g/l při teplotě 5 °C. </w:t>
      </w:r>
    </w:p>
    <w:p w14:paraId="26A11F12" w14:textId="15A44A53" w:rsidR="00ED41D8" w:rsidRPr="007D7C20" w:rsidRDefault="00ED41D8" w:rsidP="007D7C2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U zásobních roztoků a při použití dávkovače dbejte na to, aby nebyla překročena maximální rozpustnost, které lze za daných podmínek dosáhnout. Nastavte průtok dávkovacího čerpadla podle koncentrace zásobního roztoku a příjmu vody zvířaty, která mají být léčena.</w:t>
      </w:r>
    </w:p>
    <w:p w14:paraId="11B1DD09" w14:textId="446BD803" w:rsidR="0030636F" w:rsidRPr="0030636F" w:rsidRDefault="0030636F" w:rsidP="0030636F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22" w:name="_Hlk176165624"/>
      <w:bookmarkEnd w:id="21"/>
      <w:proofErr w:type="spellStart"/>
      <w:r>
        <w:t>Medikovaná</w:t>
      </w:r>
      <w:proofErr w:type="spellEnd"/>
      <w:r>
        <w:t xml:space="preserve"> voda by měla být jediným zdrojem pitné vody pro zvířata po celou dobu léčby.</w:t>
      </w:r>
    </w:p>
    <w:p w14:paraId="18B54613" w14:textId="04D441AA" w:rsidR="00247A48" w:rsidRPr="0030636F" w:rsidRDefault="009A6E1A" w:rsidP="009A6E1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3" w:name="_Hlk175217481"/>
      <w:bookmarkEnd w:id="22"/>
      <w:r>
        <w:t xml:space="preserve">Denní dávka se přidává do pitné vody tak, aby byla veškerá léčivá látka spotřebována do 24 hodin. </w:t>
      </w:r>
      <w:proofErr w:type="spellStart"/>
      <w:r>
        <w:t>Medikovaná</w:t>
      </w:r>
      <w:proofErr w:type="spellEnd"/>
      <w:r>
        <w:t xml:space="preserve"> pitná voda by měla být připravována čerstvá každých 24 hodin. K dispozici by neměl být žádný jiný zdroj pitné vody.</w:t>
      </w:r>
    </w:p>
    <w:bookmarkEnd w:id="23"/>
    <w:p w14:paraId="20FEE315" w14:textId="77777777" w:rsidR="0030636F" w:rsidRPr="00C80222" w:rsidRDefault="0030636F" w:rsidP="0030636F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Po ukončení léčby by měl být vodovodní systém řádně vyčištěn, aby se zabránilo příjmu </w:t>
      </w:r>
      <w:proofErr w:type="spellStart"/>
      <w:r>
        <w:t>subterapeutických</w:t>
      </w:r>
      <w:proofErr w:type="spellEnd"/>
      <w:r>
        <w:t xml:space="preserve"> množství účinné látky.</w:t>
      </w:r>
    </w:p>
    <w:p w14:paraId="64E14D15" w14:textId="5A327330" w:rsidR="00260AA6" w:rsidRPr="00280E3A" w:rsidRDefault="00260AA6" w:rsidP="00260AA6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Informace o kompatibilitě s biocidy naleznete v části </w:t>
      </w:r>
      <w:r w:rsidR="007B613E">
        <w:t>5</w:t>
      </w:r>
      <w:r>
        <w:t>.1.</w:t>
      </w:r>
    </w:p>
    <w:p w14:paraId="167D792C" w14:textId="77777777" w:rsidR="005D419B" w:rsidRPr="00C80222" w:rsidRDefault="005D41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DF4D4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 xml:space="preserve">Příznaky předávkování (a kde je relevantní, první pomoc a </w:t>
      </w:r>
      <w:proofErr w:type="spellStart"/>
      <w:r>
        <w:rPr>
          <w:b/>
        </w:rPr>
        <w:t>antidota</w:t>
      </w:r>
      <w:proofErr w:type="spellEnd"/>
      <w:r>
        <w:rPr>
          <w:b/>
        </w:rPr>
        <w:t>)</w:t>
      </w:r>
    </w:p>
    <w:p w14:paraId="67689258" w14:textId="77777777" w:rsidR="00641618" w:rsidRPr="00C80222" w:rsidRDefault="0064161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02F215D4" w14:textId="4A732938" w:rsidR="006A240E" w:rsidRPr="00C80222" w:rsidRDefault="006A240E" w:rsidP="006A240E">
      <w:pPr>
        <w:tabs>
          <w:tab w:val="clear" w:pos="567"/>
        </w:tabs>
        <w:spacing w:line="240" w:lineRule="auto"/>
        <w:rPr>
          <w:szCs w:val="22"/>
        </w:rPr>
      </w:pPr>
      <w:bookmarkStart w:id="24" w:name="_Hlk176165767"/>
      <w:r>
        <w:t xml:space="preserve">Dávka vyšší než 10 mg </w:t>
      </w:r>
      <w:proofErr w:type="spellStart"/>
      <w:r>
        <w:t>linkomycinu</w:t>
      </w:r>
      <w:proofErr w:type="spellEnd"/>
      <w:r>
        <w:t xml:space="preserve"> na kg </w:t>
      </w:r>
      <w:r w:rsidR="0049489F">
        <w:t>živé</w:t>
      </w:r>
      <w:r>
        <w:t xml:space="preserve"> hmotnosti může u prasat způsobit průjem a řídk</w:t>
      </w:r>
      <w:r w:rsidR="0049489F">
        <w:t xml:space="preserve">á </w:t>
      </w:r>
      <w:proofErr w:type="spellStart"/>
      <w:r w:rsidR="0049489F">
        <w:t>faeces</w:t>
      </w:r>
      <w:proofErr w:type="spellEnd"/>
      <w:r>
        <w:t xml:space="preserve">. V případě náhodného předávkování je nutné léčbu přerušit a znovu zahájit v doporučené dávce. Specifické </w:t>
      </w:r>
      <w:proofErr w:type="spellStart"/>
      <w:r>
        <w:t>antidotum</w:t>
      </w:r>
      <w:proofErr w:type="spellEnd"/>
      <w:r>
        <w:t xml:space="preserve"> není známo, léčba je symptomatická.</w:t>
      </w:r>
    </w:p>
    <w:bookmarkEnd w:id="24"/>
    <w:p w14:paraId="32B6767B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EC2421" w14:textId="50A193ED" w:rsidR="009A6509" w:rsidRPr="00C80222" w:rsidRDefault="000908E1" w:rsidP="0064161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3.11</w:t>
      </w:r>
      <w:r>
        <w:rPr>
          <w:b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b/>
        </w:rPr>
        <w:t>antiparazitárních</w:t>
      </w:r>
      <w:proofErr w:type="spellEnd"/>
      <w:r>
        <w:rPr>
          <w:b/>
        </w:rPr>
        <w:t xml:space="preserve"> veterinárních léčivých přípravků, za účelem snížení rizika rozvoje rezistence</w:t>
      </w:r>
    </w:p>
    <w:p w14:paraId="2A32B87E" w14:textId="77777777" w:rsidR="009A6509" w:rsidRPr="00C802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38098C" w14:textId="38FC9A71" w:rsidR="009A6509" w:rsidRPr="00C80222" w:rsidRDefault="000908E1" w:rsidP="009A6509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71D31666" w14:textId="77777777" w:rsidR="009A6509" w:rsidRPr="00C802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A0F3F64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lhůty</w:t>
      </w:r>
    </w:p>
    <w:p w14:paraId="45FFAE61" w14:textId="77777777" w:rsidR="00C114FF" w:rsidRPr="00C802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FAAEC9" w14:textId="0B0A75CA" w:rsidR="00DD4F61" w:rsidRPr="00C80222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25" w:name="_Hlk168393058"/>
      <w:bookmarkStart w:id="26" w:name="_Hlk175217752"/>
      <w:r>
        <w:t>Prasata:</w:t>
      </w:r>
    </w:p>
    <w:p w14:paraId="7B10268A" w14:textId="0886B8A6" w:rsidR="00DD4F61" w:rsidRPr="00C80222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Maso: 1 den.</w:t>
      </w:r>
    </w:p>
    <w:p w14:paraId="79189E61" w14:textId="77777777" w:rsidR="00641618" w:rsidRPr="00C80222" w:rsidRDefault="00641618" w:rsidP="00DD4F61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5A36DF3" w14:textId="33665BBF" w:rsidR="00DD4F61" w:rsidRPr="00C80222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Ku</w:t>
      </w:r>
      <w:r w:rsidR="007B21E2">
        <w:t>r domácí</w:t>
      </w:r>
      <w:r>
        <w:t>:</w:t>
      </w:r>
    </w:p>
    <w:p w14:paraId="59BDD9D1" w14:textId="78DA8500" w:rsidR="00DD4F61" w:rsidRPr="00C80222" w:rsidRDefault="00DD4F61" w:rsidP="00DD4F6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Maso: 5 dnů.</w:t>
      </w:r>
    </w:p>
    <w:bookmarkEnd w:id="25"/>
    <w:bookmarkEnd w:id="26"/>
    <w:p w14:paraId="72F527F7" w14:textId="1D11F8F2" w:rsidR="00E04A42" w:rsidRPr="00280E3A" w:rsidRDefault="00E04A42" w:rsidP="00E04A42">
      <w:pPr>
        <w:tabs>
          <w:tab w:val="clear" w:pos="567"/>
        </w:tabs>
        <w:spacing w:line="240" w:lineRule="auto"/>
        <w:rPr>
          <w:szCs w:val="22"/>
        </w:rPr>
      </w:pPr>
      <w:r>
        <w:t>Nepoužívat u ptáků produkujících nebo určených k produkci vajec pro lidskou spotřebu.</w:t>
      </w:r>
    </w:p>
    <w:p w14:paraId="0B8D3892" w14:textId="77777777" w:rsidR="00FC02F3" w:rsidRPr="00C802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3209F" w14:textId="77777777" w:rsidR="006A240E" w:rsidRPr="00C80222" w:rsidRDefault="006A24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FE745" w14:textId="5DAFB6FC" w:rsidR="00C114FF" w:rsidRPr="00875C9A" w:rsidRDefault="000908E1" w:rsidP="002178F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INFORMACE</w:t>
      </w:r>
    </w:p>
    <w:p w14:paraId="34181EAE" w14:textId="77777777" w:rsidR="00C114FF" w:rsidRPr="00B1335F" w:rsidRDefault="00C114FF" w:rsidP="002178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1B79283" w14:textId="636C56D7" w:rsidR="006A240E" w:rsidRPr="00875C9A" w:rsidRDefault="000908E1" w:rsidP="002178F0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4.1</w:t>
      </w:r>
      <w:r>
        <w:rPr>
          <w:b/>
        </w:rPr>
        <w:tab/>
      </w:r>
      <w:proofErr w:type="spellStart"/>
      <w:r>
        <w:rPr>
          <w:b/>
        </w:rPr>
        <w:t>ATCvet</w:t>
      </w:r>
      <w:proofErr w:type="spellEnd"/>
      <w:r>
        <w:rPr>
          <w:b/>
        </w:rPr>
        <w:t xml:space="preserve"> kód</w:t>
      </w:r>
      <w:r w:rsidR="00AD2725">
        <w:rPr>
          <w:b/>
        </w:rPr>
        <w:t xml:space="preserve">: </w:t>
      </w:r>
      <w:r w:rsidR="006A240E">
        <w:t>QJ01FF02</w:t>
      </w:r>
    </w:p>
    <w:p w14:paraId="54FB31B2" w14:textId="77777777" w:rsidR="00DD4F61" w:rsidRPr="00B1335F" w:rsidRDefault="00DD4F61" w:rsidP="002178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17C8FC3" w14:textId="1B64E0D5" w:rsidR="00C114FF" w:rsidRPr="00875C9A" w:rsidRDefault="00FD1E45" w:rsidP="002178F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36E65829" w14:textId="77777777" w:rsidR="00641618" w:rsidRPr="00B1335F" w:rsidRDefault="00641618" w:rsidP="002178F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00F215F0" w14:textId="21EC5DA2" w:rsidR="00693197" w:rsidRPr="00C80222" w:rsidRDefault="00693197" w:rsidP="00EF375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Linkomycin</w:t>
      </w:r>
      <w:proofErr w:type="spellEnd"/>
      <w:r>
        <w:t xml:space="preserve"> je </w:t>
      </w:r>
      <w:proofErr w:type="spellStart"/>
      <w:r>
        <w:t>linkosamidové</w:t>
      </w:r>
      <w:proofErr w:type="spellEnd"/>
      <w:r>
        <w:t xml:space="preserve"> antibiotikum </w:t>
      </w:r>
      <w:r w:rsidR="0022329C">
        <w:t xml:space="preserve">produkované </w:t>
      </w:r>
      <w:proofErr w:type="spellStart"/>
      <w:r w:rsidRPr="008767E9">
        <w:rPr>
          <w:i/>
        </w:rPr>
        <w:t>Streptomyces</w:t>
      </w:r>
      <w:proofErr w:type="spellEnd"/>
      <w:r w:rsidRPr="008767E9">
        <w:rPr>
          <w:i/>
        </w:rPr>
        <w:t xml:space="preserve"> </w:t>
      </w:r>
      <w:proofErr w:type="spellStart"/>
      <w:r w:rsidRPr="008767E9">
        <w:rPr>
          <w:i/>
        </w:rPr>
        <w:t>lincolnensis</w:t>
      </w:r>
      <w:proofErr w:type="spellEnd"/>
      <w:r>
        <w:t xml:space="preserve">, které inhibuje syntézu bílkovin. </w:t>
      </w:r>
      <w:proofErr w:type="spellStart"/>
      <w:r>
        <w:t>Linkomycin</w:t>
      </w:r>
      <w:proofErr w:type="spellEnd"/>
      <w:r>
        <w:t xml:space="preserve"> se váže na </w:t>
      </w:r>
      <w:proofErr w:type="gramStart"/>
      <w:r>
        <w:t>50S</w:t>
      </w:r>
      <w:proofErr w:type="gramEnd"/>
      <w:r>
        <w:t xml:space="preserve"> podjednotku bakteriálního ribozomu v blízkosti </w:t>
      </w:r>
      <w:proofErr w:type="spellStart"/>
      <w:r>
        <w:t>peptidyl</w:t>
      </w:r>
      <w:proofErr w:type="spellEnd"/>
      <w:r>
        <w:t xml:space="preserve"> transfer</w:t>
      </w:r>
      <w:r w:rsidR="0022329C">
        <w:t>ázového</w:t>
      </w:r>
      <w:r>
        <w:t xml:space="preserve"> centra a narušuje proces prodlužování peptidového řetězce tím, že způsobuje předčasnou disociaci </w:t>
      </w:r>
      <w:proofErr w:type="spellStart"/>
      <w:r>
        <w:t>peptidyl-tRNA</w:t>
      </w:r>
      <w:proofErr w:type="spellEnd"/>
      <w:r>
        <w:t xml:space="preserve"> z ribozomu.</w:t>
      </w:r>
    </w:p>
    <w:p w14:paraId="22A3D654" w14:textId="77777777" w:rsidR="00C114FF" w:rsidRPr="00C80222" w:rsidRDefault="00C114FF" w:rsidP="00EF37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ADBF2D" w14:textId="03D0D816" w:rsidR="00693197" w:rsidRPr="00C80222" w:rsidRDefault="00693197" w:rsidP="00EF375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Linkomycin</w:t>
      </w:r>
      <w:proofErr w:type="spellEnd"/>
      <w:r>
        <w:t xml:space="preserve"> je účinný proti některým </w:t>
      </w:r>
      <w:proofErr w:type="spellStart"/>
      <w:r>
        <w:t>gram</w:t>
      </w:r>
      <w:r w:rsidR="0049489F">
        <w:t>pozitivním</w:t>
      </w:r>
      <w:proofErr w:type="spellEnd"/>
      <w:r>
        <w:t xml:space="preserve"> bakteriím (</w:t>
      </w:r>
      <w:r>
        <w:rPr>
          <w:i/>
        </w:rPr>
        <w:t xml:space="preserve">Clostridium </w:t>
      </w:r>
      <w:proofErr w:type="spellStart"/>
      <w:r>
        <w:rPr>
          <w:i/>
        </w:rPr>
        <w:t>perfringens</w:t>
      </w:r>
      <w:proofErr w:type="spellEnd"/>
      <w:r>
        <w:t>) a </w:t>
      </w:r>
      <w:proofErr w:type="spellStart"/>
      <w:r>
        <w:t>mykoplazmám</w:t>
      </w:r>
      <w:proofErr w:type="spellEnd"/>
      <w:r>
        <w:t xml:space="preserve"> (</w:t>
      </w:r>
      <w:proofErr w:type="spellStart"/>
      <w:r>
        <w:rPr>
          <w:i/>
        </w:rPr>
        <w:t>Mycoplasma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hyopneumoniae</w:t>
      </w:r>
      <w:proofErr w:type="spellEnd"/>
      <w:r>
        <w:t>).</w:t>
      </w:r>
    </w:p>
    <w:p w14:paraId="6A4F4E28" w14:textId="162233B0" w:rsidR="00693197" w:rsidRPr="00C80222" w:rsidRDefault="00693197" w:rsidP="00EF375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Ačkoli jsou </w:t>
      </w:r>
      <w:proofErr w:type="spellStart"/>
      <w:r>
        <w:t>linkosamidy</w:t>
      </w:r>
      <w:proofErr w:type="spellEnd"/>
      <w:r>
        <w:t xml:space="preserve"> obecně považovány za bakteriostatická agens, jejich účinnost závisí na citlivosti </w:t>
      </w:r>
      <w:r w:rsidR="0022329C">
        <w:t>mikro</w:t>
      </w:r>
      <w:r>
        <w:t xml:space="preserve">organismu a koncentraci antibiotika. </w:t>
      </w:r>
      <w:proofErr w:type="spellStart"/>
      <w:r>
        <w:t>Linkomycin</w:t>
      </w:r>
      <w:proofErr w:type="spellEnd"/>
      <w:r>
        <w:t xml:space="preserve"> </w:t>
      </w:r>
      <w:r w:rsidR="0022329C">
        <w:t xml:space="preserve">tak </w:t>
      </w:r>
      <w:r>
        <w:t>může</w:t>
      </w:r>
      <w:r w:rsidR="0022329C">
        <w:t xml:space="preserve"> působit </w:t>
      </w:r>
      <w:r>
        <w:t>baktericidn</w:t>
      </w:r>
      <w:r w:rsidR="0022329C">
        <w:t>ě</w:t>
      </w:r>
      <w:r>
        <w:t xml:space="preserve"> nebo bakteriostatick</w:t>
      </w:r>
      <w:r w:rsidR="0022329C">
        <w:t>y</w:t>
      </w:r>
      <w:r>
        <w:t>.</w:t>
      </w:r>
    </w:p>
    <w:p w14:paraId="4AFEF5E8" w14:textId="3925A2CE" w:rsidR="002746E4" w:rsidRPr="000001CE" w:rsidRDefault="002746E4" w:rsidP="007D7C20">
      <w:pPr>
        <w:ind w:right="-192"/>
        <w:jc w:val="both"/>
        <w:rPr>
          <w:color w:val="000000"/>
          <w:szCs w:val="22"/>
        </w:rPr>
      </w:pPr>
      <w:r>
        <w:rPr>
          <w:color w:val="000000"/>
        </w:rPr>
        <w:t xml:space="preserve">Mezi mechanismy rezistence </w:t>
      </w:r>
      <w:r w:rsidR="00722531">
        <w:rPr>
          <w:color w:val="000000"/>
        </w:rPr>
        <w:t>vůči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linkomycin</w:t>
      </w:r>
      <w:r w:rsidR="00722531">
        <w:rPr>
          <w:color w:val="000000"/>
        </w:rPr>
        <w:t>u</w:t>
      </w:r>
      <w:proofErr w:type="spellEnd"/>
      <w:r>
        <w:rPr>
          <w:color w:val="000000"/>
        </w:rPr>
        <w:t xml:space="preserve"> patří </w:t>
      </w:r>
      <w:proofErr w:type="spellStart"/>
      <w:r>
        <w:rPr>
          <w:color w:val="000000"/>
        </w:rPr>
        <w:t>eflux</w:t>
      </w:r>
      <w:proofErr w:type="spellEnd"/>
      <w:r>
        <w:rPr>
          <w:color w:val="000000"/>
        </w:rPr>
        <w:t xml:space="preserve"> antibiotika a inaktivace léčiva</w:t>
      </w:r>
      <w:r w:rsidR="008E5BC8">
        <w:rPr>
          <w:color w:val="000000"/>
        </w:rPr>
        <w:t>, avšak</w:t>
      </w:r>
      <w:r>
        <w:rPr>
          <w:color w:val="000000"/>
        </w:rPr>
        <w:t xml:space="preserve"> nejrozšířenější</w:t>
      </w:r>
      <w:r w:rsidR="008E5BC8">
        <w:rPr>
          <w:color w:val="000000"/>
        </w:rPr>
        <w:t>m</w:t>
      </w:r>
      <w:r>
        <w:rPr>
          <w:color w:val="000000"/>
        </w:rPr>
        <w:t xml:space="preserve"> mechanism</w:t>
      </w:r>
      <w:r w:rsidR="00722531">
        <w:rPr>
          <w:color w:val="000000"/>
        </w:rPr>
        <w:t xml:space="preserve">em </w:t>
      </w:r>
      <w:r>
        <w:rPr>
          <w:color w:val="000000"/>
        </w:rPr>
        <w:t>je modifikace cílového místa metylací nebo mutací, která brání vazbě antimikrobní látky na j</w:t>
      </w:r>
      <w:r w:rsidR="008E5BC8">
        <w:rPr>
          <w:color w:val="000000"/>
        </w:rPr>
        <w:t>í</w:t>
      </w:r>
      <w:r w:rsidR="00722531">
        <w:rPr>
          <w:color w:val="000000"/>
        </w:rPr>
        <w:t xml:space="preserve"> atakovaný</w:t>
      </w:r>
      <w:r>
        <w:rPr>
          <w:color w:val="000000"/>
        </w:rPr>
        <w:t xml:space="preserve"> ribozomální cíl. Tento mechanismus modifikace cílového místa může způsobit </w:t>
      </w:r>
      <w:r w:rsidR="0053175B">
        <w:rPr>
          <w:color w:val="000000"/>
        </w:rPr>
        <w:t>z</w:t>
      </w:r>
      <w:r>
        <w:rPr>
          <w:color w:val="000000"/>
        </w:rPr>
        <w:t>kříž</w:t>
      </w:r>
      <w:r w:rsidR="0053175B">
        <w:rPr>
          <w:color w:val="000000"/>
        </w:rPr>
        <w:t>enou</w:t>
      </w:r>
      <w:r>
        <w:rPr>
          <w:color w:val="000000"/>
        </w:rPr>
        <w:t xml:space="preserve"> rezistenci </w:t>
      </w:r>
      <w:r w:rsidR="00AB771A">
        <w:rPr>
          <w:color w:val="000000"/>
        </w:rPr>
        <w:t>vůči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makrolid</w:t>
      </w:r>
      <w:r w:rsidR="00AB771A">
        <w:rPr>
          <w:color w:val="000000"/>
        </w:rPr>
        <w:t>ům</w:t>
      </w:r>
      <w:proofErr w:type="spellEnd"/>
      <w:r>
        <w:rPr>
          <w:color w:val="000000"/>
        </w:rPr>
        <w:t xml:space="preserve">, </w:t>
      </w:r>
      <w:r w:rsidR="0053175B">
        <w:rPr>
          <w:color w:val="000000"/>
        </w:rPr>
        <w:t>další</w:t>
      </w:r>
      <w:r w:rsidR="00AB771A">
        <w:rPr>
          <w:color w:val="000000"/>
        </w:rPr>
        <w:t>m</w:t>
      </w:r>
      <w:r w:rsidR="0053175B">
        <w:rPr>
          <w:color w:val="000000"/>
        </w:rPr>
        <w:t xml:space="preserve"> </w:t>
      </w:r>
      <w:proofErr w:type="spellStart"/>
      <w:r>
        <w:rPr>
          <w:color w:val="000000"/>
        </w:rPr>
        <w:t>linkosamid</w:t>
      </w:r>
      <w:r w:rsidR="00AB771A">
        <w:rPr>
          <w:color w:val="000000"/>
        </w:rPr>
        <w:t>ům</w:t>
      </w:r>
      <w:proofErr w:type="spellEnd"/>
      <w:r>
        <w:rPr>
          <w:color w:val="000000"/>
        </w:rPr>
        <w:t xml:space="preserve"> a </w:t>
      </w:r>
      <w:proofErr w:type="spellStart"/>
      <w:r>
        <w:rPr>
          <w:color w:val="000000"/>
        </w:rPr>
        <w:t>streptogramin</w:t>
      </w:r>
      <w:r w:rsidR="00AB771A">
        <w:rPr>
          <w:color w:val="000000"/>
        </w:rPr>
        <w:t>u</w:t>
      </w:r>
      <w:proofErr w:type="spellEnd"/>
      <w:r>
        <w:rPr>
          <w:color w:val="000000"/>
        </w:rPr>
        <w:t xml:space="preserve"> B (tj. fenotyp MLSB). </w:t>
      </w:r>
      <w:proofErr w:type="spellStart"/>
      <w:r w:rsidR="0053175B">
        <w:rPr>
          <w:color w:val="000000"/>
        </w:rPr>
        <w:t>Metylázy</w:t>
      </w:r>
      <w:proofErr w:type="spellEnd"/>
      <w:r w:rsidR="0053175B">
        <w:rPr>
          <w:color w:val="000000"/>
        </w:rPr>
        <w:t xml:space="preserve"> </w:t>
      </w:r>
      <w:proofErr w:type="spellStart"/>
      <w:r w:rsidR="0053175B">
        <w:rPr>
          <w:color w:val="000000"/>
        </w:rPr>
        <w:t>rRNA</w:t>
      </w:r>
      <w:proofErr w:type="spellEnd"/>
      <w:r w:rsidR="0053175B">
        <w:rPr>
          <w:color w:val="000000"/>
        </w:rPr>
        <w:t xml:space="preserve"> jsou kódovány různými geny nesoucími rezistenci vůči </w:t>
      </w:r>
      <w:proofErr w:type="spellStart"/>
      <w:r w:rsidR="0053175B">
        <w:rPr>
          <w:color w:val="000000"/>
        </w:rPr>
        <w:t>erythromycinu</w:t>
      </w:r>
      <w:proofErr w:type="spellEnd"/>
      <w:r w:rsidR="0053175B">
        <w:rPr>
          <w:color w:val="000000"/>
        </w:rPr>
        <w:t xml:space="preserve"> (</w:t>
      </w:r>
      <w:proofErr w:type="spellStart"/>
      <w:r w:rsidR="0053175B" w:rsidRPr="00FA548A">
        <w:rPr>
          <w:i/>
          <w:color w:val="000000"/>
        </w:rPr>
        <w:t>erm</w:t>
      </w:r>
      <w:proofErr w:type="spellEnd"/>
      <w:r w:rsidR="0053175B">
        <w:rPr>
          <w:color w:val="000000"/>
        </w:rPr>
        <w:t xml:space="preserve">), </w:t>
      </w:r>
      <w:r w:rsidR="0053175B">
        <w:rPr>
          <w:color w:val="000000"/>
        </w:rPr>
        <w:lastRenderedPageBreak/>
        <w:t xml:space="preserve">které mohou být horizontálně přenášeny. </w:t>
      </w:r>
      <w:r w:rsidR="00AB771A">
        <w:rPr>
          <w:color w:val="000000"/>
        </w:rPr>
        <w:t xml:space="preserve">I další </w:t>
      </w:r>
      <w:r>
        <w:rPr>
          <w:color w:val="000000"/>
        </w:rPr>
        <w:t xml:space="preserve">geny rezistence, jako jsou geny </w:t>
      </w:r>
      <w:proofErr w:type="spellStart"/>
      <w:r w:rsidRPr="008767E9">
        <w:rPr>
          <w:i/>
          <w:color w:val="000000"/>
        </w:rPr>
        <w:t>vga</w:t>
      </w:r>
      <w:proofErr w:type="spellEnd"/>
      <w:r>
        <w:rPr>
          <w:color w:val="000000"/>
        </w:rPr>
        <w:t xml:space="preserve"> a gen </w:t>
      </w:r>
      <w:proofErr w:type="spellStart"/>
      <w:r w:rsidRPr="008767E9">
        <w:rPr>
          <w:i/>
          <w:color w:val="000000"/>
        </w:rPr>
        <w:t>cfr</w:t>
      </w:r>
      <w:proofErr w:type="spellEnd"/>
      <w:r>
        <w:rPr>
          <w:color w:val="000000"/>
        </w:rPr>
        <w:t xml:space="preserve"> (z</w:t>
      </w:r>
      <w:r w:rsidR="0022329C">
        <w:rPr>
          <w:color w:val="000000"/>
        </w:rPr>
        <w:t>prostředkovávající</w:t>
      </w:r>
      <w:r>
        <w:rPr>
          <w:color w:val="000000"/>
        </w:rPr>
        <w:t xml:space="preserve"> </w:t>
      </w:r>
      <w:r w:rsidR="00AB771A">
        <w:rPr>
          <w:color w:val="000000"/>
        </w:rPr>
        <w:t>z</w:t>
      </w:r>
      <w:r>
        <w:rPr>
          <w:color w:val="000000"/>
        </w:rPr>
        <w:t>kříž</w:t>
      </w:r>
      <w:r w:rsidR="00AB771A">
        <w:rPr>
          <w:color w:val="000000"/>
        </w:rPr>
        <w:t>enou</w:t>
      </w:r>
      <w:r>
        <w:rPr>
          <w:color w:val="000000"/>
        </w:rPr>
        <w:t xml:space="preserve"> rezistenci mezi </w:t>
      </w:r>
      <w:proofErr w:type="spellStart"/>
      <w:r>
        <w:rPr>
          <w:color w:val="000000"/>
        </w:rPr>
        <w:t>pleuromutiliny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oxazolidinony</w:t>
      </w:r>
      <w:proofErr w:type="spellEnd"/>
      <w:r>
        <w:rPr>
          <w:color w:val="000000"/>
        </w:rPr>
        <w:t xml:space="preserve">, </w:t>
      </w:r>
      <w:proofErr w:type="spellStart"/>
      <w:r w:rsidR="00AB771A">
        <w:rPr>
          <w:color w:val="000000"/>
        </w:rPr>
        <w:t>am</w:t>
      </w:r>
      <w:r>
        <w:rPr>
          <w:color w:val="000000"/>
        </w:rPr>
        <w:t>fenikoly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streptograminem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linkosamidy</w:t>
      </w:r>
      <w:proofErr w:type="spellEnd"/>
      <w:r>
        <w:rPr>
          <w:color w:val="000000"/>
        </w:rPr>
        <w:t>)</w:t>
      </w:r>
      <w:r w:rsidR="00AB771A" w:rsidRPr="00AB771A">
        <w:rPr>
          <w:color w:val="000000"/>
        </w:rPr>
        <w:t xml:space="preserve"> </w:t>
      </w:r>
      <w:r w:rsidR="00AB771A">
        <w:rPr>
          <w:color w:val="000000"/>
        </w:rPr>
        <w:t xml:space="preserve">mohou být lokalizovány na </w:t>
      </w:r>
      <w:proofErr w:type="spellStart"/>
      <w:r w:rsidR="00AB771A">
        <w:rPr>
          <w:color w:val="000000"/>
        </w:rPr>
        <w:t>plazmidech</w:t>
      </w:r>
      <w:proofErr w:type="spellEnd"/>
      <w:r w:rsidR="00AB771A">
        <w:rPr>
          <w:color w:val="000000"/>
        </w:rPr>
        <w:t xml:space="preserve"> nebo </w:t>
      </w:r>
      <w:proofErr w:type="spellStart"/>
      <w:r w:rsidR="00AB771A">
        <w:rPr>
          <w:color w:val="000000"/>
        </w:rPr>
        <w:t>transpozonech</w:t>
      </w:r>
      <w:proofErr w:type="spellEnd"/>
      <w:r>
        <w:rPr>
          <w:color w:val="000000"/>
        </w:rPr>
        <w:t>. T</w:t>
      </w:r>
      <w:r w:rsidR="00AB771A">
        <w:rPr>
          <w:color w:val="000000"/>
        </w:rPr>
        <w:t>yto</w:t>
      </w:r>
      <w:r>
        <w:rPr>
          <w:color w:val="000000"/>
        </w:rPr>
        <w:t xml:space="preserve"> typ</w:t>
      </w:r>
      <w:r w:rsidR="00AB771A">
        <w:rPr>
          <w:color w:val="000000"/>
        </w:rPr>
        <w:t>y</w:t>
      </w:r>
      <w:r>
        <w:rPr>
          <w:color w:val="000000"/>
        </w:rPr>
        <w:t xml:space="preserve"> rezistence j</w:t>
      </w:r>
      <w:r w:rsidR="00AB771A">
        <w:rPr>
          <w:color w:val="000000"/>
        </w:rPr>
        <w:t>sou</w:t>
      </w:r>
      <w:r>
        <w:rPr>
          <w:color w:val="000000"/>
        </w:rPr>
        <w:t xml:space="preserve"> přenosn</w:t>
      </w:r>
      <w:r w:rsidR="00AB771A">
        <w:rPr>
          <w:color w:val="000000"/>
        </w:rPr>
        <w:t>é</w:t>
      </w:r>
      <w:r>
        <w:rPr>
          <w:color w:val="000000"/>
        </w:rPr>
        <w:t xml:space="preserve"> mezi </w:t>
      </w:r>
      <w:r w:rsidR="003C5265">
        <w:rPr>
          <w:color w:val="000000"/>
        </w:rPr>
        <w:t xml:space="preserve">rody a </w:t>
      </w:r>
      <w:r>
        <w:rPr>
          <w:color w:val="000000"/>
        </w:rPr>
        <w:t>druhy</w:t>
      </w:r>
      <w:r w:rsidR="003C5265">
        <w:rPr>
          <w:color w:val="000000"/>
        </w:rPr>
        <w:t xml:space="preserve"> bakterií</w:t>
      </w:r>
      <w:r>
        <w:rPr>
          <w:color w:val="000000"/>
        </w:rPr>
        <w:t>. Mechanismus antimikrobní rezistence se u jednotlivých bakteriálních druhů liší.</w:t>
      </w:r>
    </w:p>
    <w:p w14:paraId="389627E2" w14:textId="77777777" w:rsidR="00641618" w:rsidRPr="00C80222" w:rsidRDefault="006416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2079F" w14:textId="136949AB" w:rsidR="00C114FF" w:rsidRPr="00C80222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35C23967" w14:textId="77777777" w:rsidR="00641618" w:rsidRPr="00C80222" w:rsidRDefault="0064161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3DA3B4BF" w14:textId="3AED6CCD" w:rsidR="00EF3758" w:rsidRPr="00C80222" w:rsidRDefault="00EF3758" w:rsidP="00EF3758">
      <w:pPr>
        <w:tabs>
          <w:tab w:val="clear" w:pos="567"/>
        </w:tabs>
        <w:spacing w:line="240" w:lineRule="auto"/>
        <w:rPr>
          <w:szCs w:val="22"/>
        </w:rPr>
      </w:pPr>
      <w:r>
        <w:t xml:space="preserve">U prasat se </w:t>
      </w:r>
      <w:proofErr w:type="spellStart"/>
      <w:r>
        <w:t>linkomycin</w:t>
      </w:r>
      <w:proofErr w:type="spellEnd"/>
      <w:r>
        <w:t xml:space="preserve"> po perorálním podání rychle vstřebává. Jednorázové perorální podání </w:t>
      </w:r>
      <w:proofErr w:type="spellStart"/>
      <w:r>
        <w:t>linkomycin</w:t>
      </w:r>
      <w:proofErr w:type="spellEnd"/>
      <w:r>
        <w:t xml:space="preserve"> </w:t>
      </w:r>
      <w:proofErr w:type="spellStart"/>
      <w:r>
        <w:t>hydrochloridu</w:t>
      </w:r>
      <w:proofErr w:type="spellEnd"/>
      <w:r>
        <w:t xml:space="preserve"> v dávkách přibližně 22, 55 a 100 mg/kg </w:t>
      </w:r>
      <w:r w:rsidR="003C5265">
        <w:t xml:space="preserve">živé </w:t>
      </w:r>
      <w:r>
        <w:t>hmotnosti prasat</w:t>
      </w:r>
      <w:r w:rsidR="00591AFF">
        <w:t>ům</w:t>
      </w:r>
      <w:r>
        <w:t xml:space="preserve"> vedlo k sérovým hladinám </w:t>
      </w:r>
      <w:proofErr w:type="spellStart"/>
      <w:r>
        <w:t>linkomycinu</w:t>
      </w:r>
      <w:proofErr w:type="spellEnd"/>
      <w:r>
        <w:t xml:space="preserve"> závislým na dávce, detekov</w:t>
      </w:r>
      <w:r w:rsidR="00591AFF">
        <w:t>atelným</w:t>
      </w:r>
      <w:r>
        <w:t xml:space="preserve"> po dobu 24</w:t>
      </w:r>
      <w:r w:rsidR="00591AFF">
        <w:t xml:space="preserve"> až </w:t>
      </w:r>
      <w:r>
        <w:t xml:space="preserve">36 hodin po podání. Maximální sérové hladiny byly pozorovány </w:t>
      </w:r>
      <w:r w:rsidR="00591AFF">
        <w:t xml:space="preserve">v čase </w:t>
      </w:r>
      <w:r>
        <w:t xml:space="preserve">4 hodiny </w:t>
      </w:r>
      <w:r w:rsidR="00591AFF">
        <w:t xml:space="preserve">od </w:t>
      </w:r>
      <w:r>
        <w:t>podání. Podobné výsledky byly pozorovány u prasat po jednorázovém perorálním podání dávek 4,4 a 11,0 mg/</w:t>
      </w:r>
      <w:proofErr w:type="gramStart"/>
      <w:r>
        <w:t xml:space="preserve">kg </w:t>
      </w:r>
      <w:r w:rsidR="00591AFF">
        <w:t xml:space="preserve"> živé</w:t>
      </w:r>
      <w:proofErr w:type="gramEnd"/>
      <w:r w:rsidR="00591AFF">
        <w:t xml:space="preserve"> </w:t>
      </w:r>
      <w:r>
        <w:t>hmotnosti. Hladiny byly detekovatelné po dobu 12 až 16 hodin, přičemž</w:t>
      </w:r>
      <w:r w:rsidR="00591AFF">
        <w:t xml:space="preserve"> </w:t>
      </w:r>
      <w:r>
        <w:t xml:space="preserve">maximální koncentrace byly </w:t>
      </w:r>
      <w:r w:rsidR="00591AFF">
        <w:t>z</w:t>
      </w:r>
      <w:r>
        <w:t xml:space="preserve">aznamenány </w:t>
      </w:r>
      <w:r w:rsidR="00591AFF">
        <w:t>v čase</w:t>
      </w:r>
      <w:r>
        <w:t xml:space="preserve"> 4 hodin</w:t>
      </w:r>
      <w:r w:rsidR="00591AFF">
        <w:t>y od podání</w:t>
      </w:r>
      <w:r>
        <w:t>. K určení biologické dostupnosti byla prasatům podána jednorázová perorální dávka 10 mg/kg</w:t>
      </w:r>
      <w:r w:rsidR="00591AFF">
        <w:t xml:space="preserve"> živé</w:t>
      </w:r>
      <w:r>
        <w:t xml:space="preserve"> hmotnosti. </w:t>
      </w:r>
      <w:r w:rsidR="005A75B5">
        <w:t>A</w:t>
      </w:r>
      <w:r>
        <w:t xml:space="preserve">bsorpce </w:t>
      </w:r>
      <w:proofErr w:type="spellStart"/>
      <w:r>
        <w:t>linkomycinu</w:t>
      </w:r>
      <w:proofErr w:type="spellEnd"/>
      <w:r>
        <w:t xml:space="preserve"> </w:t>
      </w:r>
      <w:r w:rsidR="005A75B5">
        <w:t xml:space="preserve">po perorálním podání </w:t>
      </w:r>
      <w:r>
        <w:t>byla 53 % ±19 %.</w:t>
      </w:r>
    </w:p>
    <w:p w14:paraId="2BD6EAC8" w14:textId="60023C7D" w:rsidR="00EF3758" w:rsidRPr="00C80222" w:rsidRDefault="00591AFF" w:rsidP="00EF3758">
      <w:pPr>
        <w:tabs>
          <w:tab w:val="clear" w:pos="567"/>
        </w:tabs>
        <w:spacing w:line="240" w:lineRule="auto"/>
        <w:rPr>
          <w:szCs w:val="22"/>
        </w:rPr>
      </w:pPr>
      <w:r>
        <w:t>Při o</w:t>
      </w:r>
      <w:r w:rsidR="00EF3758">
        <w:t>pakované</w:t>
      </w:r>
      <w:r>
        <w:t xml:space="preserve">m </w:t>
      </w:r>
      <w:r w:rsidR="00EF3758">
        <w:t xml:space="preserve">podávání denních perorálních dávek 22 mg </w:t>
      </w:r>
      <w:proofErr w:type="spellStart"/>
      <w:r w:rsidR="00EF3758">
        <w:t>linkomycinu</w:t>
      </w:r>
      <w:proofErr w:type="spellEnd"/>
      <w:r w:rsidR="00EF3758">
        <w:t xml:space="preserve">/kg </w:t>
      </w:r>
      <w:r>
        <w:t>živé</w:t>
      </w:r>
      <w:r w:rsidR="00EF3758">
        <w:t xml:space="preserve"> hmotnosti po dobu 3 dnů </w:t>
      </w:r>
      <w:r>
        <w:t xml:space="preserve">prasatům </w:t>
      </w:r>
      <w:r w:rsidR="00EF3758">
        <w:t>ne</w:t>
      </w:r>
      <w:r>
        <w:t xml:space="preserve">byla </w:t>
      </w:r>
      <w:r w:rsidR="00EF3758">
        <w:t>prokáz</w:t>
      </w:r>
      <w:r>
        <w:t>ána</w:t>
      </w:r>
      <w:r w:rsidR="00EF3758">
        <w:t xml:space="preserve"> akumulac</w:t>
      </w:r>
      <w:r>
        <w:t>e</w:t>
      </w:r>
      <w:r w:rsidR="00EF3758">
        <w:t xml:space="preserve"> </w:t>
      </w:r>
      <w:proofErr w:type="spellStart"/>
      <w:r w:rsidR="00EF3758">
        <w:t>linkomycinu</w:t>
      </w:r>
      <w:proofErr w:type="spellEnd"/>
      <w:r w:rsidR="00EF3758">
        <w:t>, přičemž 24 hodin po podání nebyl</w:t>
      </w:r>
      <w:r w:rsidR="005A75B5">
        <w:t>a</w:t>
      </w:r>
      <w:r w:rsidR="00EF3758">
        <w:t xml:space="preserve"> v séru hladin</w:t>
      </w:r>
      <w:r w:rsidR="005A75B5">
        <w:t>a</w:t>
      </w:r>
      <w:r w:rsidR="00EF3758">
        <w:t xml:space="preserve"> antibiotika</w:t>
      </w:r>
      <w:r w:rsidR="005A75B5">
        <w:t xml:space="preserve"> detekovatelná</w:t>
      </w:r>
      <w:r w:rsidR="00EF3758">
        <w:t>.</w:t>
      </w:r>
    </w:p>
    <w:p w14:paraId="4291A228" w14:textId="73E397B1" w:rsidR="00EF3758" w:rsidRPr="00C80222" w:rsidRDefault="00EF3758" w:rsidP="00EF3758">
      <w:pPr>
        <w:tabs>
          <w:tab w:val="clear" w:pos="567"/>
        </w:tabs>
        <w:spacing w:line="240" w:lineRule="auto"/>
        <w:rPr>
          <w:szCs w:val="22"/>
        </w:rPr>
      </w:pPr>
      <w:r>
        <w:t xml:space="preserve">Po překročení střevní bariéry </w:t>
      </w:r>
      <w:r w:rsidR="005A75B5">
        <w:t>j</w:t>
      </w:r>
      <w:r>
        <w:t xml:space="preserve">e </w:t>
      </w:r>
      <w:proofErr w:type="spellStart"/>
      <w:r>
        <w:t>linkomycin</w:t>
      </w:r>
      <w:proofErr w:type="spellEnd"/>
      <w:r>
        <w:t xml:space="preserve"> široce distribu</w:t>
      </w:r>
      <w:r w:rsidR="005A75B5">
        <w:t>ován</w:t>
      </w:r>
      <w:r>
        <w:t xml:space="preserve"> do všech tkání, zejména do plic a kloubních dutin; distribu</w:t>
      </w:r>
      <w:r w:rsidR="008F76AF">
        <w:t>ční objem</w:t>
      </w:r>
      <w:r>
        <w:t xml:space="preserve"> je </w:t>
      </w:r>
      <w:r w:rsidR="00BD446A">
        <w:t xml:space="preserve">přibližně </w:t>
      </w:r>
      <w:r>
        <w:t xml:space="preserve">1 litr. Poločas eliminace </w:t>
      </w:r>
      <w:proofErr w:type="spellStart"/>
      <w:r>
        <w:t>linkomycinu</w:t>
      </w:r>
      <w:proofErr w:type="spellEnd"/>
      <w:r>
        <w:t xml:space="preserve"> je delší než 3 hodiny. Přibližně 50 % </w:t>
      </w:r>
      <w:proofErr w:type="spellStart"/>
      <w:r>
        <w:t>linkomycinu</w:t>
      </w:r>
      <w:proofErr w:type="spellEnd"/>
      <w:r>
        <w:t xml:space="preserve"> </w:t>
      </w:r>
      <w:r w:rsidR="005A75B5">
        <w:t>je</w:t>
      </w:r>
      <w:r>
        <w:t xml:space="preserve"> metaboliz</w:t>
      </w:r>
      <w:r w:rsidR="005A75B5">
        <w:t>ováno</w:t>
      </w:r>
      <w:r>
        <w:t xml:space="preserve"> v játrech. </w:t>
      </w:r>
      <w:proofErr w:type="spellStart"/>
      <w:r>
        <w:t>Linkomycin</w:t>
      </w:r>
      <w:proofErr w:type="spellEnd"/>
      <w:r>
        <w:t xml:space="preserve"> p</w:t>
      </w:r>
      <w:r w:rsidR="005A75B5">
        <w:t>odléhá</w:t>
      </w:r>
      <w:r>
        <w:t xml:space="preserve"> </w:t>
      </w:r>
      <w:proofErr w:type="spellStart"/>
      <w:r>
        <w:t>enterohepatální</w:t>
      </w:r>
      <w:proofErr w:type="spellEnd"/>
      <w:r>
        <w:t xml:space="preserve"> cirkulac</w:t>
      </w:r>
      <w:r w:rsidR="005A75B5">
        <w:t>i</w:t>
      </w:r>
      <w:r>
        <w:t xml:space="preserve">. </w:t>
      </w:r>
      <w:proofErr w:type="spellStart"/>
      <w:r>
        <w:t>Linkomycin</w:t>
      </w:r>
      <w:proofErr w:type="spellEnd"/>
      <w:r>
        <w:t xml:space="preserve"> </w:t>
      </w:r>
      <w:r w:rsidR="005A75B5">
        <w:t>j</w:t>
      </w:r>
      <w:r>
        <w:t>e vyluč</w:t>
      </w:r>
      <w:r w:rsidR="005A75B5">
        <w:t>ován</w:t>
      </w:r>
      <w:r>
        <w:t xml:space="preserve"> v nezměněné formě nebo ve formě metabolitů žlučí a močí. Vysoké koncentrace aktivní formy jsou pozorovány ve střevě.</w:t>
      </w:r>
    </w:p>
    <w:p w14:paraId="4122C14F" w14:textId="1F87FB32" w:rsidR="00EF3758" w:rsidRPr="00C80222" w:rsidRDefault="008203FB" w:rsidP="00EF3758">
      <w:pPr>
        <w:tabs>
          <w:tab w:val="clear" w:pos="567"/>
        </w:tabs>
        <w:spacing w:line="240" w:lineRule="auto"/>
        <w:rPr>
          <w:szCs w:val="22"/>
        </w:rPr>
      </w:pPr>
      <w:r>
        <w:t xml:space="preserve">U kura domácího </w:t>
      </w:r>
      <w:r w:rsidR="00EF3758">
        <w:t xml:space="preserve">byl </w:t>
      </w:r>
      <w:proofErr w:type="spellStart"/>
      <w:r w:rsidR="00EF3758">
        <w:t>linkomycin</w:t>
      </w:r>
      <w:proofErr w:type="spellEnd"/>
      <w:r w:rsidR="00EF3758">
        <w:t xml:space="preserve"> </w:t>
      </w:r>
      <w:proofErr w:type="spellStart"/>
      <w:r w:rsidR="00EF3758">
        <w:t>hydrochlorid</w:t>
      </w:r>
      <w:proofErr w:type="spellEnd"/>
      <w:r w:rsidR="00EF3758">
        <w:t xml:space="preserve"> </w:t>
      </w:r>
      <w:r w:rsidR="00584D39">
        <w:t xml:space="preserve">podáván </w:t>
      </w:r>
      <w:r w:rsidR="00EF3758">
        <w:t xml:space="preserve">v pitné vodě v množství přibližně 34 mg/litr (5,1–6,6 mg/kg </w:t>
      </w:r>
      <w:r w:rsidR="00BD446A">
        <w:t>živé</w:t>
      </w:r>
      <w:r w:rsidR="00EF3758">
        <w:t xml:space="preserve"> hmotnosti) po dobu sedmi dnů. Metabolity tvořily více než 75 % celkových reziduí v játrech. </w:t>
      </w:r>
      <w:r w:rsidR="00584D39">
        <w:t>Poločas eliminace pro n</w:t>
      </w:r>
      <w:r w:rsidR="00EF3758">
        <w:t>emetabolizovan</w:t>
      </w:r>
      <w:r w:rsidR="00584D39">
        <w:t>ý</w:t>
      </w:r>
      <w:r w:rsidR="00EF3758">
        <w:t xml:space="preserve"> </w:t>
      </w:r>
      <w:proofErr w:type="spellStart"/>
      <w:r w:rsidR="00584D39">
        <w:t>linkomycin</w:t>
      </w:r>
      <w:proofErr w:type="spellEnd"/>
      <w:r w:rsidR="00584D39">
        <w:t xml:space="preserve"> </w:t>
      </w:r>
      <w:r w:rsidR="00EF3758">
        <w:t xml:space="preserve">(t½ = 5,8 hodiny) </w:t>
      </w:r>
      <w:r w:rsidR="00584D39">
        <w:t xml:space="preserve">byl mírně </w:t>
      </w:r>
      <w:proofErr w:type="gramStart"/>
      <w:r w:rsidR="00584D39">
        <w:t>kratší,</w:t>
      </w:r>
      <w:proofErr w:type="gramEnd"/>
      <w:r w:rsidR="00584D39">
        <w:t xml:space="preserve"> </w:t>
      </w:r>
      <w:r w:rsidR="00EF3758">
        <w:t>než</w:t>
      </w:r>
      <w:r w:rsidR="00584D39">
        <w:t xml:space="preserve"> pro</w:t>
      </w:r>
      <w:r w:rsidR="00EF3758">
        <w:t xml:space="preserve"> celkov</w:t>
      </w:r>
      <w:r w:rsidR="00584D39">
        <w:t>á</w:t>
      </w:r>
      <w:r w:rsidR="00EF3758">
        <w:t xml:space="preserve"> rezidu</w:t>
      </w:r>
      <w:r w:rsidR="00584D39">
        <w:t>a</w:t>
      </w:r>
      <w:r w:rsidR="00EF3758">
        <w:t xml:space="preserve">. </w:t>
      </w:r>
      <w:proofErr w:type="spellStart"/>
      <w:r w:rsidR="00584D39">
        <w:t>L</w:t>
      </w:r>
      <w:r w:rsidR="00EF3758">
        <w:t>inkomycin</w:t>
      </w:r>
      <w:proofErr w:type="spellEnd"/>
      <w:r w:rsidR="00EF3758">
        <w:t xml:space="preserve"> </w:t>
      </w:r>
      <w:r w:rsidR="00584D39">
        <w:t xml:space="preserve">a jeden </w:t>
      </w:r>
      <w:r w:rsidR="00EF3758">
        <w:t>neznámý metabolit</w:t>
      </w:r>
      <w:r w:rsidR="00584D39">
        <w:t xml:space="preserve"> </w:t>
      </w:r>
      <w:proofErr w:type="gramStart"/>
      <w:r w:rsidR="00584D39">
        <w:t>tvořily</w:t>
      </w:r>
      <w:r w:rsidR="00EF3758">
        <w:t xml:space="preserve"> &gt;</w:t>
      </w:r>
      <w:proofErr w:type="gramEnd"/>
      <w:r w:rsidR="00EF3758">
        <w:t xml:space="preserve"> 50 % reziduí </w:t>
      </w:r>
      <w:r w:rsidR="00584D39">
        <w:t xml:space="preserve">ve svalu </w:t>
      </w:r>
      <w:r w:rsidR="00EF3758">
        <w:t>v </w:t>
      </w:r>
      <w:r w:rsidR="003300B6">
        <w:t>čase nula</w:t>
      </w:r>
      <w:r w:rsidR="00EF3758">
        <w:t xml:space="preserve">. Exkrementy obsahovaly během léčby převážně nemetabolizovaný </w:t>
      </w:r>
      <w:proofErr w:type="spellStart"/>
      <w:r w:rsidR="00EF3758">
        <w:t>linkomycin</w:t>
      </w:r>
      <w:proofErr w:type="spellEnd"/>
      <w:r w:rsidR="00EF3758">
        <w:t xml:space="preserve"> (60–85 %).</w:t>
      </w:r>
    </w:p>
    <w:p w14:paraId="4682CA7D" w14:textId="77777777" w:rsidR="00F601BB" w:rsidRDefault="00F601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54BCF2" w14:textId="697FC625" w:rsidR="00F601BB" w:rsidRPr="00C80222" w:rsidRDefault="00F601BB" w:rsidP="002178F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Environmentální vlastnosti</w:t>
      </w:r>
    </w:p>
    <w:p w14:paraId="1678D78E" w14:textId="53124C7A" w:rsidR="00F601BB" w:rsidRPr="00966EBC" w:rsidRDefault="00F601BB" w:rsidP="00966EB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Linkomycin</w:t>
      </w:r>
      <w:proofErr w:type="spellEnd"/>
      <w:r>
        <w:t xml:space="preserve"> je známý svou toxicitou pro suchozemské rostliny, sinice a bakterie v podzemních vodách.</w:t>
      </w:r>
    </w:p>
    <w:p w14:paraId="6EE405A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53939D" w14:textId="77777777" w:rsidR="00966EBC" w:rsidRPr="00C80222" w:rsidRDefault="00966E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A42F1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ÚDAJE</w:t>
      </w:r>
    </w:p>
    <w:p w14:paraId="4B790F6E" w14:textId="77777777" w:rsidR="00641618" w:rsidRPr="00C80222" w:rsidRDefault="006416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8CC3B9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Hlavní inkompatibility</w:t>
      </w:r>
    </w:p>
    <w:p w14:paraId="003D5CB7" w14:textId="77777777" w:rsidR="00C114FF" w:rsidRPr="00C802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B1B755" w14:textId="7D3F5FDA" w:rsidR="00EF3758" w:rsidRPr="00C80222" w:rsidRDefault="00B53D50" w:rsidP="00EF3758">
      <w:pPr>
        <w:tabs>
          <w:tab w:val="clear" w:pos="567"/>
        </w:tabs>
        <w:spacing w:line="240" w:lineRule="auto"/>
        <w:rPr>
          <w:szCs w:val="22"/>
        </w:rPr>
      </w:pPr>
      <w:r>
        <w:t xml:space="preserve">Nemísit </w:t>
      </w:r>
      <w:r w:rsidR="00EF3758">
        <w:t>s jiným veterinárním léčivým přípravkem.</w:t>
      </w:r>
    </w:p>
    <w:p w14:paraId="644DB4EA" w14:textId="77777777" w:rsidR="008C25AB" w:rsidRDefault="008C25AB" w:rsidP="008C25AB">
      <w:pPr>
        <w:tabs>
          <w:tab w:val="left" w:pos="540"/>
        </w:tabs>
      </w:pPr>
    </w:p>
    <w:p w14:paraId="14225C0A" w14:textId="2D1BFC7C" w:rsidR="008C25AB" w:rsidRPr="007D7C20" w:rsidRDefault="008C25AB" w:rsidP="007D7C20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může být podáván v pitné vodě, která obsahuje peroxid vodíku maximálně v koncentraci 35 </w:t>
      </w:r>
      <w:proofErr w:type="spellStart"/>
      <w:r>
        <w:t>ppm</w:t>
      </w:r>
      <w:proofErr w:type="spellEnd"/>
      <w:r>
        <w:t xml:space="preserve">, ale nesmí být podáván v pitné vodě, která obsahuje chlor, protože </w:t>
      </w:r>
      <w:proofErr w:type="spellStart"/>
      <w:r>
        <w:t>linkomycin</w:t>
      </w:r>
      <w:proofErr w:type="spellEnd"/>
      <w:r>
        <w:t xml:space="preserve"> v přítomnosti chloru </w:t>
      </w:r>
      <w:r w:rsidR="00C57FC4" w:rsidRPr="00C57FC4">
        <w:t xml:space="preserve">velmi rychle </w:t>
      </w:r>
      <w:r w:rsidR="00B53D50">
        <w:t>degraduje</w:t>
      </w:r>
      <w:r>
        <w:t>.</w:t>
      </w:r>
    </w:p>
    <w:p w14:paraId="55F4DDFB" w14:textId="279641F4" w:rsidR="00C114FF" w:rsidRPr="00C80222" w:rsidRDefault="00C114FF" w:rsidP="00DD4F61">
      <w:pPr>
        <w:tabs>
          <w:tab w:val="clear" w:pos="567"/>
        </w:tabs>
        <w:spacing w:line="240" w:lineRule="auto"/>
        <w:rPr>
          <w:szCs w:val="22"/>
        </w:rPr>
      </w:pPr>
    </w:p>
    <w:p w14:paraId="7AB548D0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5.2</w:t>
      </w:r>
      <w:r>
        <w:rPr>
          <w:b/>
        </w:rPr>
        <w:tab/>
        <w:t>Doba použitelnosti</w:t>
      </w:r>
    </w:p>
    <w:p w14:paraId="17B74C33" w14:textId="77777777" w:rsidR="00C114FF" w:rsidRPr="00C802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F30516" w14:textId="6AB7CC07" w:rsidR="00C114FF" w:rsidRPr="00C80222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bookmarkStart w:id="27" w:name="_Hlk175217851"/>
      <w:r>
        <w:t>Doba použitelnosti veterinárního léčivého přípravku v neporušeném obalu: 2 roky.</w:t>
      </w:r>
    </w:p>
    <w:p w14:paraId="5DE31074" w14:textId="77777777" w:rsidR="00E9150F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bookmarkStart w:id="28" w:name="_Hlk195196913"/>
      <w:r>
        <w:t xml:space="preserve">Doba použitelnosti po prvním otevření vnitřního obalu: </w:t>
      </w:r>
    </w:p>
    <w:p w14:paraId="1F16FE8D" w14:textId="25B1F3B2" w:rsidR="00C114FF" w:rsidRDefault="00E9150F" w:rsidP="00E9150F">
      <w:pPr>
        <w:tabs>
          <w:tab w:val="clear" w:pos="567"/>
        </w:tabs>
        <w:spacing w:line="240" w:lineRule="auto"/>
        <w:ind w:firstLine="567"/>
        <w:rPr>
          <w:szCs w:val="22"/>
        </w:rPr>
      </w:pPr>
      <w:proofErr w:type="gramStart"/>
      <w:r>
        <w:t>150g</w:t>
      </w:r>
      <w:proofErr w:type="gramEnd"/>
      <w:r>
        <w:t xml:space="preserve"> sáček: 7 dnů.</w:t>
      </w:r>
    </w:p>
    <w:p w14:paraId="1583E894" w14:textId="18C16A9A" w:rsidR="00E9150F" w:rsidRPr="00C80222" w:rsidRDefault="00E9150F" w:rsidP="007D7C20">
      <w:pPr>
        <w:tabs>
          <w:tab w:val="clear" w:pos="567"/>
        </w:tabs>
        <w:spacing w:line="240" w:lineRule="auto"/>
        <w:ind w:firstLine="567"/>
        <w:rPr>
          <w:szCs w:val="22"/>
        </w:rPr>
      </w:pPr>
      <w:proofErr w:type="gramStart"/>
      <w:r>
        <w:t>1kg</w:t>
      </w:r>
      <w:proofErr w:type="gramEnd"/>
      <w:r>
        <w:t xml:space="preserve"> </w:t>
      </w:r>
      <w:r w:rsidR="00B53D50">
        <w:t xml:space="preserve">vak </w:t>
      </w:r>
      <w:r>
        <w:t xml:space="preserve">a 5kg </w:t>
      </w:r>
      <w:r w:rsidR="00FC5084">
        <w:t>vak</w:t>
      </w:r>
      <w:r>
        <w:t>: 21 dnů</w:t>
      </w:r>
    </w:p>
    <w:bookmarkEnd w:id="28"/>
    <w:p w14:paraId="50302DE1" w14:textId="197D646A" w:rsidR="00C114FF" w:rsidRPr="00C80222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r>
        <w:t>Doba použitelnosti po rozpuštění v pitné vodě podle návodu: 24 hodin</w:t>
      </w:r>
    </w:p>
    <w:bookmarkEnd w:id="27"/>
    <w:p w14:paraId="00468E6E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D1727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5.3</w:t>
      </w:r>
      <w:r>
        <w:rPr>
          <w:b/>
        </w:rPr>
        <w:tab/>
        <w:t>Zvláštní opatření pro uchovávání</w:t>
      </w:r>
    </w:p>
    <w:p w14:paraId="1B59B6BB" w14:textId="77777777" w:rsidR="008A26F1" w:rsidRPr="00C80222" w:rsidRDefault="008A26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23748" w14:textId="17223301" w:rsidR="00C114FF" w:rsidRPr="0031459E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bookmarkStart w:id="29" w:name="_Hlk168394025"/>
      <w:r>
        <w:lastRenderedPageBreak/>
        <w:t>Tento veterinární léčivý přípravek nevyžaduje žádné zvláštní podmínky uchovávání.</w:t>
      </w:r>
    </w:p>
    <w:bookmarkEnd w:id="29"/>
    <w:p w14:paraId="339AF0F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B222C" w14:textId="77777777" w:rsidR="00C114FF" w:rsidRPr="00C80222" w:rsidRDefault="000908E1" w:rsidP="002178F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Druh a složení vnitřního obalu</w:t>
      </w:r>
    </w:p>
    <w:p w14:paraId="5DFAE825" w14:textId="77777777" w:rsidR="00C114FF" w:rsidRPr="00C80222" w:rsidRDefault="00C114FF" w:rsidP="002178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98AC377" w14:textId="4FF94640" w:rsidR="00EF3758" w:rsidRPr="00C80222" w:rsidRDefault="00F92622" w:rsidP="00EF3758">
      <w:pPr>
        <w:tabs>
          <w:tab w:val="clear" w:pos="567"/>
        </w:tabs>
        <w:spacing w:line="240" w:lineRule="auto"/>
        <w:rPr>
          <w:szCs w:val="22"/>
        </w:rPr>
      </w:pPr>
      <w:r>
        <w:t>3vrstvý</w:t>
      </w:r>
      <w:r w:rsidR="00E73593">
        <w:t xml:space="preserve"> fóliový </w:t>
      </w:r>
      <w:r w:rsidR="00F4079B">
        <w:t xml:space="preserve">tepelně zatavený </w:t>
      </w:r>
      <w:r w:rsidR="00E73593">
        <w:t>sáček obsahující 150 g,</w:t>
      </w:r>
      <w:r>
        <w:t xml:space="preserve"> </w:t>
      </w:r>
      <w:bookmarkStart w:id="30" w:name="_Hlk192853748"/>
      <w:r>
        <w:t>vyrobený</w:t>
      </w:r>
      <w:r w:rsidR="00E73593">
        <w:t xml:space="preserve"> </w:t>
      </w:r>
      <w:r>
        <w:t>z</w:t>
      </w:r>
      <w:r w:rsidR="00E73593">
        <w:t> </w:t>
      </w:r>
      <w:proofErr w:type="spellStart"/>
      <w:r w:rsidR="00E73593">
        <w:t>nízkohustotního</w:t>
      </w:r>
      <w:proofErr w:type="spellEnd"/>
      <w:r w:rsidR="00E73593">
        <w:t xml:space="preserve"> </w:t>
      </w:r>
      <w:proofErr w:type="spellStart"/>
      <w:r>
        <w:t>polyethylenu</w:t>
      </w:r>
      <w:proofErr w:type="spellEnd"/>
      <w:r>
        <w:t>/hliníku/polyesteru</w:t>
      </w:r>
      <w:bookmarkEnd w:id="30"/>
    </w:p>
    <w:p w14:paraId="4B796553" w14:textId="0A641ADB" w:rsidR="00EF3758" w:rsidRPr="00C80222" w:rsidRDefault="00F92622" w:rsidP="00EF3758">
      <w:pPr>
        <w:tabs>
          <w:tab w:val="clear" w:pos="567"/>
        </w:tabs>
        <w:spacing w:line="240" w:lineRule="auto"/>
        <w:rPr>
          <w:szCs w:val="22"/>
        </w:rPr>
      </w:pPr>
      <w:bookmarkStart w:id="31" w:name="_Hlk192853760"/>
      <w:r>
        <w:t xml:space="preserve">4vrstvý </w:t>
      </w:r>
      <w:r w:rsidR="00BF3384">
        <w:t xml:space="preserve">fóliový </w:t>
      </w:r>
      <w:r w:rsidR="00F4079B">
        <w:t xml:space="preserve">tepelně zatavený </w:t>
      </w:r>
      <w:r w:rsidR="00ED000C">
        <w:t xml:space="preserve">vak </w:t>
      </w:r>
      <w:r w:rsidR="00BF3384">
        <w:t>obsahující 1 kg,</w:t>
      </w:r>
      <w:r>
        <w:t xml:space="preserve"> vyrobený z </w:t>
      </w:r>
      <w:proofErr w:type="spellStart"/>
      <w:r w:rsidR="00BF3384">
        <w:t>nízkohustotního</w:t>
      </w:r>
      <w:proofErr w:type="spellEnd"/>
      <w:r w:rsidR="00BF3384">
        <w:t xml:space="preserve"> </w:t>
      </w:r>
      <w:proofErr w:type="spellStart"/>
      <w:r>
        <w:t>polyethylenu</w:t>
      </w:r>
      <w:proofErr w:type="spellEnd"/>
      <w:r>
        <w:t>/polyamidu/hliníku/polyesteru</w:t>
      </w:r>
      <w:bookmarkEnd w:id="31"/>
    </w:p>
    <w:p w14:paraId="0B310ABB" w14:textId="65469B8C" w:rsidR="00EF3758" w:rsidRPr="00C80222" w:rsidRDefault="00F4079B" w:rsidP="00EF3758">
      <w:pPr>
        <w:tabs>
          <w:tab w:val="clear" w:pos="567"/>
        </w:tabs>
        <w:spacing w:line="240" w:lineRule="auto"/>
        <w:rPr>
          <w:szCs w:val="22"/>
        </w:rPr>
      </w:pPr>
      <w:bookmarkStart w:id="32" w:name="_Hlk192853782"/>
      <w:r>
        <w:t xml:space="preserve">3vrstvý fóliový tepelně zatavený vak obsahující </w:t>
      </w:r>
      <w:r w:rsidR="00F92622">
        <w:t>5</w:t>
      </w:r>
      <w:r>
        <w:t xml:space="preserve"> </w:t>
      </w:r>
      <w:r w:rsidR="00F92622">
        <w:t>kg</w:t>
      </w:r>
      <w:r>
        <w:t>,</w:t>
      </w:r>
      <w:r w:rsidR="00F92622">
        <w:t xml:space="preserve"> vyrobený z </w:t>
      </w:r>
      <w:proofErr w:type="spellStart"/>
      <w:r>
        <w:t>nízkohustotního</w:t>
      </w:r>
      <w:proofErr w:type="spellEnd"/>
      <w:r>
        <w:t xml:space="preserve"> </w:t>
      </w:r>
      <w:proofErr w:type="spellStart"/>
      <w:r w:rsidR="00F92622">
        <w:t>polyethylenu</w:t>
      </w:r>
      <w:proofErr w:type="spellEnd"/>
      <w:r w:rsidR="00F92622">
        <w:t>/hliníku/polyamidu</w:t>
      </w:r>
    </w:p>
    <w:bookmarkEnd w:id="32"/>
    <w:p w14:paraId="67C80518" w14:textId="77777777" w:rsidR="005D419B" w:rsidRPr="00C80222" w:rsidRDefault="005D41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8BE70" w14:textId="6A23502F" w:rsidR="00C114FF" w:rsidRPr="00C80222" w:rsidRDefault="000908E1" w:rsidP="00A9226B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4D9EB736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E77B71" w14:textId="77777777" w:rsidR="00C114FF" w:rsidRPr="00C80222" w:rsidRDefault="000908E1" w:rsidP="002178F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tab/>
      </w:r>
      <w:r>
        <w:rPr>
          <w:b/>
        </w:rPr>
        <w:t>Zvláštní opatření pro likvidaci nepoužitých veterinárních léčivých přípravků nebo odpadů, které pochází z těchto přípravků</w:t>
      </w:r>
    </w:p>
    <w:p w14:paraId="288F1363" w14:textId="77777777" w:rsidR="00395491" w:rsidRDefault="00395491" w:rsidP="002178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7777C50" w14:textId="339770C8" w:rsidR="00C114FF" w:rsidRPr="00C80222" w:rsidRDefault="00395491" w:rsidP="00145C3F">
      <w:pPr>
        <w:tabs>
          <w:tab w:val="clear" w:pos="567"/>
        </w:tabs>
        <w:spacing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39AA9782" w14:textId="1098D665" w:rsidR="00395491" w:rsidRPr="00395491" w:rsidRDefault="00440EBB" w:rsidP="003954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8000"/>
          <w:szCs w:val="22"/>
        </w:rPr>
      </w:pPr>
      <w:r>
        <w:rPr>
          <w:color w:val="000000"/>
        </w:rPr>
        <w:t>Tento v</w:t>
      </w:r>
      <w:r w:rsidR="00395491">
        <w:rPr>
          <w:color w:val="000000"/>
        </w:rPr>
        <w:t>eterinární léčivý přípravek nesmí kontaminovat vodní toky, protože linkomycin může být nebezpečný pro vodní organismy.</w:t>
      </w:r>
    </w:p>
    <w:p w14:paraId="6083396E" w14:textId="77777777" w:rsidR="00395491" w:rsidRPr="00395491" w:rsidRDefault="00395491" w:rsidP="003954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Všechen nepoužitý veterinární léčivý přípravek nebo odpad, který pochází z tohoto přípravku, likvidujte odevzdáním v souladu s místními požadavky a národními systémy sběru, které jsou platné pro příslušný veterinární léčivý přípravek. </w:t>
      </w:r>
    </w:p>
    <w:p w14:paraId="4C1A3EE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C689" w14:textId="77777777" w:rsidR="00395491" w:rsidRPr="00C80222" w:rsidRDefault="003954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CD09B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JMÉNO DRŽITELE ROZHODNUTÍ O REGISTRACI</w:t>
      </w:r>
    </w:p>
    <w:p w14:paraId="090BA13B" w14:textId="77777777" w:rsidR="00C114FF" w:rsidRPr="00C802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F67684" w14:textId="77777777" w:rsidR="00623007" w:rsidRPr="00C80222" w:rsidRDefault="00623007" w:rsidP="00623007">
      <w:pPr>
        <w:tabs>
          <w:tab w:val="clear" w:pos="567"/>
        </w:tabs>
        <w:spacing w:line="240" w:lineRule="auto"/>
        <w:rPr>
          <w:szCs w:val="22"/>
        </w:rPr>
      </w:pPr>
      <w:bookmarkStart w:id="33" w:name="_Hlk175065103"/>
      <w:r>
        <w:t>ENDECTOVET EOOD</w:t>
      </w:r>
    </w:p>
    <w:bookmarkEnd w:id="33"/>
    <w:p w14:paraId="71C85AF9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56E870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FCC67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REGISTRAČNÍ ČÍSLO(A)</w:t>
      </w:r>
    </w:p>
    <w:p w14:paraId="79F182B3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3013D3" w14:textId="5D4B75E3" w:rsidR="00C114FF" w:rsidRPr="00C80222" w:rsidRDefault="007A72E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96/020/</w:t>
      </w:r>
      <w:proofErr w:type="gramStart"/>
      <w:r>
        <w:rPr>
          <w:szCs w:val="22"/>
        </w:rPr>
        <w:t>26-C</w:t>
      </w:r>
      <w:proofErr w:type="gramEnd"/>
    </w:p>
    <w:p w14:paraId="746E3043" w14:textId="77777777" w:rsidR="00DE330B" w:rsidRPr="00C80222" w:rsidRDefault="00DE33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7556CC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DATUM PRVNÍ REGISTRACE</w:t>
      </w:r>
    </w:p>
    <w:p w14:paraId="6C8FC572" w14:textId="77777777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5DF15B" w14:textId="7CF0E29E" w:rsidR="00D65777" w:rsidRPr="00C80222" w:rsidRDefault="007A72E7" w:rsidP="00A9226B">
      <w:pPr>
        <w:tabs>
          <w:tab w:val="clear" w:pos="567"/>
        </w:tabs>
        <w:spacing w:line="240" w:lineRule="auto"/>
        <w:rPr>
          <w:szCs w:val="22"/>
        </w:rPr>
      </w:pPr>
      <w:bookmarkStart w:id="34" w:name="_Hlk175065190"/>
      <w:r>
        <w:t>17. 2. 2026</w:t>
      </w:r>
    </w:p>
    <w:bookmarkEnd w:id="34"/>
    <w:p w14:paraId="392B63EB" w14:textId="77777777" w:rsidR="00887E9C" w:rsidRPr="00C80222" w:rsidRDefault="00887E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01136A" w14:textId="77777777" w:rsidR="00D65777" w:rsidRPr="00C802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29DCE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9.</w:t>
      </w:r>
      <w:r>
        <w:rPr>
          <w:b/>
        </w:rPr>
        <w:tab/>
        <w:t>DATUM POSLEDNÍ AKTUALIZACE SOUHRNU ÚDAJŮ O PŘÍPRAVKU</w:t>
      </w:r>
    </w:p>
    <w:p w14:paraId="707CA892" w14:textId="77777777" w:rsidR="00C114FF" w:rsidRPr="00C802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B86FDB" w14:textId="7A77607B" w:rsidR="00B113B9" w:rsidRDefault="007A72E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02/2026</w:t>
      </w:r>
    </w:p>
    <w:p w14:paraId="50BD5388" w14:textId="77777777" w:rsidR="007A72E7" w:rsidRPr="00C80222" w:rsidRDefault="007A72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A8018C" w14:textId="77777777" w:rsidR="00C114FF" w:rsidRPr="00C80222" w:rsidRDefault="000908E1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KLASIFIKACE VETERINÁRNÍCH LÉČIVÝCH PŘÍPRAVKŮ</w:t>
      </w:r>
    </w:p>
    <w:p w14:paraId="68501B4B" w14:textId="77777777" w:rsidR="0078538F" w:rsidRPr="00C802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33F85E" w14:textId="19058388" w:rsidR="0078538F" w:rsidRPr="00C80222" w:rsidRDefault="000908E1" w:rsidP="0078538F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27D05B82" w14:textId="77777777" w:rsidR="0078538F" w:rsidRPr="00C80222" w:rsidRDefault="0078538F" w:rsidP="0078538F">
      <w:pPr>
        <w:ind w:right="-318"/>
        <w:rPr>
          <w:szCs w:val="22"/>
        </w:rPr>
      </w:pPr>
    </w:p>
    <w:p w14:paraId="7F5346B1" w14:textId="69BF842D" w:rsidR="0078538F" w:rsidRDefault="000908E1" w:rsidP="0078538F">
      <w:pPr>
        <w:ind w:right="-318"/>
      </w:pPr>
      <w:bookmarkStart w:id="35" w:name="_Hlk73467306"/>
      <w:r>
        <w:t xml:space="preserve">Podrobné informace o tomto veterinárním léčivém přípravku jsou k dispozici v </w:t>
      </w:r>
      <w:r>
        <w:rPr>
          <w:rStyle w:val="Hypertextovodkaz"/>
        </w:rPr>
        <w:t>databázi přípravků Unie</w:t>
      </w:r>
      <w:r>
        <w:t xml:space="preserve"> (</w:t>
      </w:r>
      <w:hyperlink r:id="rId8" w:history="1">
        <w:r>
          <w:rPr>
            <w:rStyle w:val="Hypertextovodkaz"/>
          </w:rPr>
          <w:t>https://medicines.health.europa.eu/veterinary</w:t>
        </w:r>
      </w:hyperlink>
      <w:r>
        <w:t>).</w:t>
      </w:r>
    </w:p>
    <w:p w14:paraId="733E9C98" w14:textId="18AAB997" w:rsidR="007A72E7" w:rsidRDefault="007A72E7" w:rsidP="0078538F">
      <w:pPr>
        <w:ind w:right="-318"/>
        <w:rPr>
          <w:szCs w:val="22"/>
        </w:rPr>
      </w:pPr>
    </w:p>
    <w:p w14:paraId="0DE6C47E" w14:textId="77777777" w:rsidR="007A72E7" w:rsidRPr="00D52946" w:rsidRDefault="007A72E7" w:rsidP="007A72E7">
      <w:pPr>
        <w:spacing w:line="240" w:lineRule="auto"/>
      </w:pPr>
      <w:bookmarkStart w:id="36" w:name="_Hlk148432335"/>
      <w:r w:rsidRPr="00D52946">
        <w:t>Podrobné informace o tomto veterinárním léčivém přípravku naleznete také v národní databázi (</w:t>
      </w:r>
      <w:hyperlink r:id="rId9" w:history="1">
        <w:r w:rsidRPr="00D52946">
          <w:rPr>
            <w:rStyle w:val="Hypertextovodkaz"/>
          </w:rPr>
          <w:t>https://www.uskvbl.cz</w:t>
        </w:r>
      </w:hyperlink>
      <w:r w:rsidRPr="00D52946">
        <w:t>).</w:t>
      </w:r>
    </w:p>
    <w:bookmarkEnd w:id="36"/>
    <w:p w14:paraId="689E8A27" w14:textId="690CE126" w:rsidR="007A72E7" w:rsidRPr="00C80222" w:rsidRDefault="007A72E7" w:rsidP="0078538F">
      <w:pPr>
        <w:ind w:right="-318"/>
        <w:rPr>
          <w:szCs w:val="22"/>
        </w:rPr>
      </w:pPr>
      <w:r>
        <w:rPr>
          <w:szCs w:val="22"/>
        </w:rPr>
        <w:t xml:space="preserve"> </w:t>
      </w:r>
      <w:bookmarkStart w:id="37" w:name="_GoBack"/>
      <w:bookmarkEnd w:id="37"/>
    </w:p>
    <w:bookmarkEnd w:id="35"/>
    <w:p w14:paraId="38CBE48B" w14:textId="2EEEC07B" w:rsidR="00C114FF" w:rsidRPr="00C802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C80222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A4DB0" w14:textId="77777777" w:rsidR="009F5BE4" w:rsidRDefault="009F5BE4">
      <w:pPr>
        <w:spacing w:line="240" w:lineRule="auto"/>
      </w:pPr>
      <w:r>
        <w:separator/>
      </w:r>
    </w:p>
  </w:endnote>
  <w:endnote w:type="continuationSeparator" w:id="0">
    <w:p w14:paraId="1CD00A08" w14:textId="77777777" w:rsidR="009F5BE4" w:rsidRDefault="009F5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3300B6" w:rsidRPr="00B94A1B" w:rsidRDefault="003300B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3300B6" w:rsidRDefault="003300B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E6496" w14:textId="77777777" w:rsidR="009F5BE4" w:rsidRDefault="009F5BE4">
      <w:pPr>
        <w:spacing w:line="240" w:lineRule="auto"/>
      </w:pPr>
      <w:r>
        <w:separator/>
      </w:r>
    </w:p>
  </w:footnote>
  <w:footnote w:type="continuationSeparator" w:id="0">
    <w:p w14:paraId="7B47BDCE" w14:textId="77777777" w:rsidR="009F5BE4" w:rsidRDefault="009F5B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A9E6" w14:textId="2138B7F1" w:rsidR="003300B6" w:rsidRDefault="003300B6" w:rsidP="003E3B79"/>
  <w:p w14:paraId="35C52809" w14:textId="77777777" w:rsidR="003300B6" w:rsidRDefault="003300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1FED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C1C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282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40A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68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00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D63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E4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46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40C301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6E0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6F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CE5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C1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965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2D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40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E6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916E4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00FC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A32C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2BA8E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BA49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26699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CE7E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23017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6747A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FFE1B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CA56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ACE2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D00E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7EF2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02288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C9C59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42CE61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2AF8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9882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E8E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4CE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EF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A4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ED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A9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49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83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B4A5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76CB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2C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42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1C3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7CC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47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2F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D49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151688"/>
    <w:multiLevelType w:val="hybridMultilevel"/>
    <w:tmpl w:val="CCEAE122"/>
    <w:lvl w:ilvl="0" w:tplc="04045964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C2299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904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1847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76B5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50FE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DCB3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1C57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5895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50E2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3B5CA8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2662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CB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45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60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8A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A3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A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EC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F8ED6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6813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7AC9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D8C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4A3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2C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47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6F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2A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3AA066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0EB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4A1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88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07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56F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4C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9C0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6930E48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03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D89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C3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C3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6C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6D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61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07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5BC65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8CE047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A861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B80D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4F86C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EEC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9E1D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5980F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9E0D0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ADBA25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7BE2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725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29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6A4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26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85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E5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643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30E67BF"/>
    <w:multiLevelType w:val="hybridMultilevel"/>
    <w:tmpl w:val="B1D854E2"/>
    <w:lvl w:ilvl="0" w:tplc="96E40C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CE2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143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8D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6F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040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645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89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DC5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4FC6C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AB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89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4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E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50C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6C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E3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F27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A1A7D8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7345F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2C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ED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C4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E7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062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09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00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CB0078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D6A6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925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08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AD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AF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2C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A4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CA0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0"/>
  </w:num>
  <w:num w:numId="10">
    <w:abstractNumId w:val="31"/>
  </w:num>
  <w:num w:numId="11">
    <w:abstractNumId w:val="16"/>
  </w:num>
  <w:num w:numId="12">
    <w:abstractNumId w:val="14"/>
  </w:num>
  <w:num w:numId="13">
    <w:abstractNumId w:val="3"/>
  </w:num>
  <w:num w:numId="14">
    <w:abstractNumId w:val="29"/>
  </w:num>
  <w:num w:numId="15">
    <w:abstractNumId w:val="19"/>
  </w:num>
  <w:num w:numId="16">
    <w:abstractNumId w:val="34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5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6"/>
  </w:num>
  <w:num w:numId="31">
    <w:abstractNumId w:val="37"/>
  </w:num>
  <w:num w:numId="32">
    <w:abstractNumId w:val="21"/>
  </w:num>
  <w:num w:numId="33">
    <w:abstractNumId w:val="28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472"/>
    <w:rsid w:val="00002BB5"/>
    <w:rsid w:val="00012F01"/>
    <w:rsid w:val="00017C80"/>
    <w:rsid w:val="00020A50"/>
    <w:rsid w:val="00021B82"/>
    <w:rsid w:val="00024777"/>
    <w:rsid w:val="00024E21"/>
    <w:rsid w:val="0002584E"/>
    <w:rsid w:val="00025EC2"/>
    <w:rsid w:val="00027100"/>
    <w:rsid w:val="00031A38"/>
    <w:rsid w:val="00036C50"/>
    <w:rsid w:val="00050ABE"/>
    <w:rsid w:val="00052D2B"/>
    <w:rsid w:val="00054F55"/>
    <w:rsid w:val="00062945"/>
    <w:rsid w:val="00070D27"/>
    <w:rsid w:val="00072C70"/>
    <w:rsid w:val="00074F67"/>
    <w:rsid w:val="00075F58"/>
    <w:rsid w:val="00080453"/>
    <w:rsid w:val="0008169A"/>
    <w:rsid w:val="00082200"/>
    <w:rsid w:val="000860CE"/>
    <w:rsid w:val="00087BE9"/>
    <w:rsid w:val="000908E1"/>
    <w:rsid w:val="00092A37"/>
    <w:rsid w:val="000938A6"/>
    <w:rsid w:val="000939B2"/>
    <w:rsid w:val="00096E78"/>
    <w:rsid w:val="00097C1E"/>
    <w:rsid w:val="000A1DF5"/>
    <w:rsid w:val="000A48F0"/>
    <w:rsid w:val="000B2E95"/>
    <w:rsid w:val="000B6207"/>
    <w:rsid w:val="000B700D"/>
    <w:rsid w:val="000B7873"/>
    <w:rsid w:val="000C02A1"/>
    <w:rsid w:val="000C1361"/>
    <w:rsid w:val="000C1D4F"/>
    <w:rsid w:val="000C687A"/>
    <w:rsid w:val="000D3FA9"/>
    <w:rsid w:val="000D67D0"/>
    <w:rsid w:val="000E195C"/>
    <w:rsid w:val="000E3602"/>
    <w:rsid w:val="000E6E5E"/>
    <w:rsid w:val="000E705A"/>
    <w:rsid w:val="000E796E"/>
    <w:rsid w:val="000F104D"/>
    <w:rsid w:val="000F38DA"/>
    <w:rsid w:val="000F5822"/>
    <w:rsid w:val="000F7402"/>
    <w:rsid w:val="000F796B"/>
    <w:rsid w:val="0010031E"/>
    <w:rsid w:val="0010063B"/>
    <w:rsid w:val="001012EB"/>
    <w:rsid w:val="0010207F"/>
    <w:rsid w:val="001078D1"/>
    <w:rsid w:val="00111185"/>
    <w:rsid w:val="00115782"/>
    <w:rsid w:val="0011704B"/>
    <w:rsid w:val="00121A38"/>
    <w:rsid w:val="00124701"/>
    <w:rsid w:val="00124F36"/>
    <w:rsid w:val="00125666"/>
    <w:rsid w:val="00125C80"/>
    <w:rsid w:val="00131FAF"/>
    <w:rsid w:val="001341F1"/>
    <w:rsid w:val="0013799F"/>
    <w:rsid w:val="00140DF6"/>
    <w:rsid w:val="00145C3F"/>
    <w:rsid w:val="00145D34"/>
    <w:rsid w:val="00146284"/>
    <w:rsid w:val="0014690F"/>
    <w:rsid w:val="0015098E"/>
    <w:rsid w:val="00152E82"/>
    <w:rsid w:val="001549A9"/>
    <w:rsid w:val="001558EF"/>
    <w:rsid w:val="00156344"/>
    <w:rsid w:val="00164543"/>
    <w:rsid w:val="00165E04"/>
    <w:rsid w:val="001660D8"/>
    <w:rsid w:val="001674D3"/>
    <w:rsid w:val="00175264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248"/>
    <w:rsid w:val="001A28C9"/>
    <w:rsid w:val="001A34BC"/>
    <w:rsid w:val="001A3F9F"/>
    <w:rsid w:val="001A7FEF"/>
    <w:rsid w:val="001B1C77"/>
    <w:rsid w:val="001B26EB"/>
    <w:rsid w:val="001B6F4A"/>
    <w:rsid w:val="001C0144"/>
    <w:rsid w:val="001C0DFA"/>
    <w:rsid w:val="001C509A"/>
    <w:rsid w:val="001C5288"/>
    <w:rsid w:val="001C5B03"/>
    <w:rsid w:val="001D15DB"/>
    <w:rsid w:val="001D6052"/>
    <w:rsid w:val="001D6D96"/>
    <w:rsid w:val="001E5621"/>
    <w:rsid w:val="001F3EF9"/>
    <w:rsid w:val="001F584F"/>
    <w:rsid w:val="001F627D"/>
    <w:rsid w:val="001F6622"/>
    <w:rsid w:val="0020126C"/>
    <w:rsid w:val="002100FC"/>
    <w:rsid w:val="00213890"/>
    <w:rsid w:val="00214E52"/>
    <w:rsid w:val="002178F0"/>
    <w:rsid w:val="002207C0"/>
    <w:rsid w:val="0022329C"/>
    <w:rsid w:val="00224791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0AA6"/>
    <w:rsid w:val="00265656"/>
    <w:rsid w:val="00265E77"/>
    <w:rsid w:val="00266155"/>
    <w:rsid w:val="0027270B"/>
    <w:rsid w:val="002746E4"/>
    <w:rsid w:val="00282E7B"/>
    <w:rsid w:val="002838C8"/>
    <w:rsid w:val="002845B4"/>
    <w:rsid w:val="00290805"/>
    <w:rsid w:val="00290C2A"/>
    <w:rsid w:val="00291207"/>
    <w:rsid w:val="002931DD"/>
    <w:rsid w:val="00295140"/>
    <w:rsid w:val="00295EE2"/>
    <w:rsid w:val="0029601B"/>
    <w:rsid w:val="002A0E7C"/>
    <w:rsid w:val="002A1597"/>
    <w:rsid w:val="002A21ED"/>
    <w:rsid w:val="002A3F88"/>
    <w:rsid w:val="002A710D"/>
    <w:rsid w:val="002B0F11"/>
    <w:rsid w:val="002B2E17"/>
    <w:rsid w:val="002B3339"/>
    <w:rsid w:val="002B6560"/>
    <w:rsid w:val="002B65B8"/>
    <w:rsid w:val="002C55FF"/>
    <w:rsid w:val="002C592B"/>
    <w:rsid w:val="002D300D"/>
    <w:rsid w:val="002E0CD4"/>
    <w:rsid w:val="002E1909"/>
    <w:rsid w:val="002E29DE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3989"/>
    <w:rsid w:val="00304393"/>
    <w:rsid w:val="00305AB2"/>
    <w:rsid w:val="0030636F"/>
    <w:rsid w:val="0031032B"/>
    <w:rsid w:val="0031061E"/>
    <w:rsid w:val="00312045"/>
    <w:rsid w:val="0031459E"/>
    <w:rsid w:val="00316E87"/>
    <w:rsid w:val="0032453E"/>
    <w:rsid w:val="00325053"/>
    <w:rsid w:val="003256AC"/>
    <w:rsid w:val="003300B6"/>
    <w:rsid w:val="0033129D"/>
    <w:rsid w:val="003320ED"/>
    <w:rsid w:val="0033480E"/>
    <w:rsid w:val="00334CCB"/>
    <w:rsid w:val="00337123"/>
    <w:rsid w:val="00340FFC"/>
    <w:rsid w:val="00341866"/>
    <w:rsid w:val="00342448"/>
    <w:rsid w:val="0034378D"/>
    <w:rsid w:val="003535E0"/>
    <w:rsid w:val="00355D02"/>
    <w:rsid w:val="003568DF"/>
    <w:rsid w:val="00357C73"/>
    <w:rsid w:val="003615F4"/>
    <w:rsid w:val="00361607"/>
    <w:rsid w:val="003669C9"/>
    <w:rsid w:val="00366F56"/>
    <w:rsid w:val="003737C8"/>
    <w:rsid w:val="0037589D"/>
    <w:rsid w:val="00376BB1"/>
    <w:rsid w:val="00377E23"/>
    <w:rsid w:val="003803CC"/>
    <w:rsid w:val="0038277C"/>
    <w:rsid w:val="00382EA0"/>
    <w:rsid w:val="003837F1"/>
    <w:rsid w:val="003841FC"/>
    <w:rsid w:val="0038638B"/>
    <w:rsid w:val="003909E0"/>
    <w:rsid w:val="00393E09"/>
    <w:rsid w:val="00395491"/>
    <w:rsid w:val="00395B15"/>
    <w:rsid w:val="00396026"/>
    <w:rsid w:val="003A31B9"/>
    <w:rsid w:val="003A3E2F"/>
    <w:rsid w:val="003A6CCB"/>
    <w:rsid w:val="003B10C4"/>
    <w:rsid w:val="003B1526"/>
    <w:rsid w:val="003B48EB"/>
    <w:rsid w:val="003B5CD1"/>
    <w:rsid w:val="003B6D4E"/>
    <w:rsid w:val="003C1076"/>
    <w:rsid w:val="003C33FF"/>
    <w:rsid w:val="003C5265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3B79"/>
    <w:rsid w:val="003F0BC8"/>
    <w:rsid w:val="003F0D6C"/>
    <w:rsid w:val="003F0F26"/>
    <w:rsid w:val="003F12D9"/>
    <w:rsid w:val="003F1B4C"/>
    <w:rsid w:val="003F3CE6"/>
    <w:rsid w:val="003F677F"/>
    <w:rsid w:val="004008F6"/>
    <w:rsid w:val="00412BBE"/>
    <w:rsid w:val="0041440C"/>
    <w:rsid w:val="00414B20"/>
    <w:rsid w:val="00417DE3"/>
    <w:rsid w:val="00420850"/>
    <w:rsid w:val="00422B78"/>
    <w:rsid w:val="004238F2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0EBB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4DE6"/>
    <w:rsid w:val="004771F9"/>
    <w:rsid w:val="0047743C"/>
    <w:rsid w:val="00477B60"/>
    <w:rsid w:val="00486006"/>
    <w:rsid w:val="00486BAD"/>
    <w:rsid w:val="00486BBE"/>
    <w:rsid w:val="00487123"/>
    <w:rsid w:val="00490D44"/>
    <w:rsid w:val="00491C1E"/>
    <w:rsid w:val="0049489F"/>
    <w:rsid w:val="00495A75"/>
    <w:rsid w:val="00495CAE"/>
    <w:rsid w:val="004A1BD5"/>
    <w:rsid w:val="004A61E1"/>
    <w:rsid w:val="004B2344"/>
    <w:rsid w:val="004B5DDC"/>
    <w:rsid w:val="004B798E"/>
    <w:rsid w:val="004C2ABD"/>
    <w:rsid w:val="004C5F62"/>
    <w:rsid w:val="004D3E58"/>
    <w:rsid w:val="004D6746"/>
    <w:rsid w:val="004D767B"/>
    <w:rsid w:val="004E0F32"/>
    <w:rsid w:val="004E23A1"/>
    <w:rsid w:val="004E23EA"/>
    <w:rsid w:val="004E493C"/>
    <w:rsid w:val="004E52C5"/>
    <w:rsid w:val="004E623E"/>
    <w:rsid w:val="004E7092"/>
    <w:rsid w:val="004E7ECE"/>
    <w:rsid w:val="004F2144"/>
    <w:rsid w:val="004F4264"/>
    <w:rsid w:val="004F4DB1"/>
    <w:rsid w:val="004F64C1"/>
    <w:rsid w:val="004F6F64"/>
    <w:rsid w:val="004F7D9F"/>
    <w:rsid w:val="005004EC"/>
    <w:rsid w:val="00506AAE"/>
    <w:rsid w:val="00517756"/>
    <w:rsid w:val="005202C6"/>
    <w:rsid w:val="00523C53"/>
    <w:rsid w:val="00527620"/>
    <w:rsid w:val="00527B8F"/>
    <w:rsid w:val="00530C00"/>
    <w:rsid w:val="0053175B"/>
    <w:rsid w:val="0053740A"/>
    <w:rsid w:val="00542012"/>
    <w:rsid w:val="00543DF5"/>
    <w:rsid w:val="00545A61"/>
    <w:rsid w:val="0055260D"/>
    <w:rsid w:val="00555422"/>
    <w:rsid w:val="00555810"/>
    <w:rsid w:val="00560583"/>
    <w:rsid w:val="00562DCA"/>
    <w:rsid w:val="0056568F"/>
    <w:rsid w:val="005720C7"/>
    <w:rsid w:val="0057436C"/>
    <w:rsid w:val="00575DE3"/>
    <w:rsid w:val="005822FD"/>
    <w:rsid w:val="00582578"/>
    <w:rsid w:val="00584D39"/>
    <w:rsid w:val="0058621D"/>
    <w:rsid w:val="00590689"/>
    <w:rsid w:val="00590B72"/>
    <w:rsid w:val="00591AFF"/>
    <w:rsid w:val="00592420"/>
    <w:rsid w:val="005975CD"/>
    <w:rsid w:val="00597DE9"/>
    <w:rsid w:val="00597FED"/>
    <w:rsid w:val="005A4ABA"/>
    <w:rsid w:val="005A4CBE"/>
    <w:rsid w:val="005A75B5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0C04"/>
    <w:rsid w:val="005C1A60"/>
    <w:rsid w:val="005C276A"/>
    <w:rsid w:val="005D380C"/>
    <w:rsid w:val="005D419B"/>
    <w:rsid w:val="005D63C3"/>
    <w:rsid w:val="005D6E04"/>
    <w:rsid w:val="005D7A12"/>
    <w:rsid w:val="005E53EE"/>
    <w:rsid w:val="005F0542"/>
    <w:rsid w:val="005F0F72"/>
    <w:rsid w:val="005F1C1F"/>
    <w:rsid w:val="005F346D"/>
    <w:rsid w:val="005F38FB"/>
    <w:rsid w:val="005F723B"/>
    <w:rsid w:val="006018AE"/>
    <w:rsid w:val="00602D3B"/>
    <w:rsid w:val="0060326F"/>
    <w:rsid w:val="00606EA1"/>
    <w:rsid w:val="006119CF"/>
    <w:rsid w:val="006128F0"/>
    <w:rsid w:val="006135DE"/>
    <w:rsid w:val="0061726B"/>
    <w:rsid w:val="00617B81"/>
    <w:rsid w:val="00623007"/>
    <w:rsid w:val="0062387A"/>
    <w:rsid w:val="00627D3C"/>
    <w:rsid w:val="0063377D"/>
    <w:rsid w:val="006344BE"/>
    <w:rsid w:val="00634A66"/>
    <w:rsid w:val="00634FB5"/>
    <w:rsid w:val="00640336"/>
    <w:rsid w:val="00640FC9"/>
    <w:rsid w:val="006414D3"/>
    <w:rsid w:val="00641618"/>
    <w:rsid w:val="00641635"/>
    <w:rsid w:val="006432F2"/>
    <w:rsid w:val="0064563F"/>
    <w:rsid w:val="0064778D"/>
    <w:rsid w:val="0065320F"/>
    <w:rsid w:val="00653D64"/>
    <w:rsid w:val="00654E13"/>
    <w:rsid w:val="00661EBD"/>
    <w:rsid w:val="006635C8"/>
    <w:rsid w:val="00666CDA"/>
    <w:rsid w:val="00667489"/>
    <w:rsid w:val="00670D44"/>
    <w:rsid w:val="00673F4C"/>
    <w:rsid w:val="00676AFC"/>
    <w:rsid w:val="0067760F"/>
    <w:rsid w:val="0067780B"/>
    <w:rsid w:val="006807CD"/>
    <w:rsid w:val="006811D1"/>
    <w:rsid w:val="00682D43"/>
    <w:rsid w:val="0068507D"/>
    <w:rsid w:val="006854F5"/>
    <w:rsid w:val="00685BAF"/>
    <w:rsid w:val="00690463"/>
    <w:rsid w:val="00690F2B"/>
    <w:rsid w:val="00693197"/>
    <w:rsid w:val="006A0D03"/>
    <w:rsid w:val="006A240E"/>
    <w:rsid w:val="006A41E9"/>
    <w:rsid w:val="006B12CB"/>
    <w:rsid w:val="006B5916"/>
    <w:rsid w:val="006C4775"/>
    <w:rsid w:val="006C4F4A"/>
    <w:rsid w:val="006C5E80"/>
    <w:rsid w:val="006C7860"/>
    <w:rsid w:val="006C7CEE"/>
    <w:rsid w:val="006D001B"/>
    <w:rsid w:val="006D075E"/>
    <w:rsid w:val="006D09DC"/>
    <w:rsid w:val="006D11BE"/>
    <w:rsid w:val="006D2866"/>
    <w:rsid w:val="006D3509"/>
    <w:rsid w:val="006D48AC"/>
    <w:rsid w:val="006D7C6E"/>
    <w:rsid w:val="006E15A2"/>
    <w:rsid w:val="006E2F95"/>
    <w:rsid w:val="006F148B"/>
    <w:rsid w:val="006F4883"/>
    <w:rsid w:val="006F5927"/>
    <w:rsid w:val="006F64F5"/>
    <w:rsid w:val="006F741A"/>
    <w:rsid w:val="00705EAF"/>
    <w:rsid w:val="00706DB8"/>
    <w:rsid w:val="0070773E"/>
    <w:rsid w:val="007101CC"/>
    <w:rsid w:val="00715C55"/>
    <w:rsid w:val="00720A87"/>
    <w:rsid w:val="00722531"/>
    <w:rsid w:val="007237C7"/>
    <w:rsid w:val="00723B26"/>
    <w:rsid w:val="0072430A"/>
    <w:rsid w:val="00724E3B"/>
    <w:rsid w:val="00725BF4"/>
    <w:rsid w:val="00725EEA"/>
    <w:rsid w:val="007276B6"/>
    <w:rsid w:val="00730CE9"/>
    <w:rsid w:val="0073373D"/>
    <w:rsid w:val="0074263C"/>
    <w:rsid w:val="007439DB"/>
    <w:rsid w:val="00754A14"/>
    <w:rsid w:val="007568D8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6D6F"/>
    <w:rsid w:val="007A72E7"/>
    <w:rsid w:val="007B00BA"/>
    <w:rsid w:val="007B00E5"/>
    <w:rsid w:val="007B20CF"/>
    <w:rsid w:val="007B21E2"/>
    <w:rsid w:val="007B2499"/>
    <w:rsid w:val="007B613E"/>
    <w:rsid w:val="007B72E1"/>
    <w:rsid w:val="007B783A"/>
    <w:rsid w:val="007C1B95"/>
    <w:rsid w:val="007C3DF3"/>
    <w:rsid w:val="007C796D"/>
    <w:rsid w:val="007D3B60"/>
    <w:rsid w:val="007D4796"/>
    <w:rsid w:val="007D73FB"/>
    <w:rsid w:val="007D7996"/>
    <w:rsid w:val="007D7C20"/>
    <w:rsid w:val="007E2F2D"/>
    <w:rsid w:val="007E4E69"/>
    <w:rsid w:val="007F1375"/>
    <w:rsid w:val="007F1433"/>
    <w:rsid w:val="007F1491"/>
    <w:rsid w:val="007F2F03"/>
    <w:rsid w:val="00800FE0"/>
    <w:rsid w:val="008066AD"/>
    <w:rsid w:val="008072FE"/>
    <w:rsid w:val="00813740"/>
    <w:rsid w:val="00814AF1"/>
    <w:rsid w:val="0081517F"/>
    <w:rsid w:val="00815370"/>
    <w:rsid w:val="008169CC"/>
    <w:rsid w:val="008203FB"/>
    <w:rsid w:val="0082153D"/>
    <w:rsid w:val="008255AA"/>
    <w:rsid w:val="00825B52"/>
    <w:rsid w:val="00827B33"/>
    <w:rsid w:val="00830FF3"/>
    <w:rsid w:val="008334BF"/>
    <w:rsid w:val="00836B8C"/>
    <w:rsid w:val="00840062"/>
    <w:rsid w:val="008410C5"/>
    <w:rsid w:val="00846C08"/>
    <w:rsid w:val="008530E7"/>
    <w:rsid w:val="00856A55"/>
    <w:rsid w:val="00856BDB"/>
    <w:rsid w:val="00857675"/>
    <w:rsid w:val="008608D9"/>
    <w:rsid w:val="00862760"/>
    <w:rsid w:val="00866F8B"/>
    <w:rsid w:val="00871AE0"/>
    <w:rsid w:val="00872C48"/>
    <w:rsid w:val="00875C9A"/>
    <w:rsid w:val="00875EC3"/>
    <w:rsid w:val="008763E7"/>
    <w:rsid w:val="008767E9"/>
    <w:rsid w:val="008808C5"/>
    <w:rsid w:val="00881A7C"/>
    <w:rsid w:val="00883C78"/>
    <w:rsid w:val="00885159"/>
    <w:rsid w:val="00885214"/>
    <w:rsid w:val="00887615"/>
    <w:rsid w:val="00887E9C"/>
    <w:rsid w:val="00890052"/>
    <w:rsid w:val="00894E3A"/>
    <w:rsid w:val="00895A2F"/>
    <w:rsid w:val="00896EBD"/>
    <w:rsid w:val="008A26F1"/>
    <w:rsid w:val="008A5665"/>
    <w:rsid w:val="008B24A8"/>
    <w:rsid w:val="008B25E4"/>
    <w:rsid w:val="008B3D78"/>
    <w:rsid w:val="008B60E1"/>
    <w:rsid w:val="008C25AB"/>
    <w:rsid w:val="008C261B"/>
    <w:rsid w:val="008C4FCA"/>
    <w:rsid w:val="008C7882"/>
    <w:rsid w:val="008D2261"/>
    <w:rsid w:val="008D4C28"/>
    <w:rsid w:val="008D577B"/>
    <w:rsid w:val="008D6056"/>
    <w:rsid w:val="008D7A98"/>
    <w:rsid w:val="008E17C4"/>
    <w:rsid w:val="008E2F3F"/>
    <w:rsid w:val="008E45C4"/>
    <w:rsid w:val="008E5BC8"/>
    <w:rsid w:val="008E64B1"/>
    <w:rsid w:val="008E64FA"/>
    <w:rsid w:val="008E74ED"/>
    <w:rsid w:val="008F09C7"/>
    <w:rsid w:val="008F1B27"/>
    <w:rsid w:val="008F4DEF"/>
    <w:rsid w:val="008F61BE"/>
    <w:rsid w:val="008F76AF"/>
    <w:rsid w:val="009027B7"/>
    <w:rsid w:val="00903D0D"/>
    <w:rsid w:val="009048E1"/>
    <w:rsid w:val="00904DC4"/>
    <w:rsid w:val="0090598C"/>
    <w:rsid w:val="009071BB"/>
    <w:rsid w:val="00912BAA"/>
    <w:rsid w:val="0091335F"/>
    <w:rsid w:val="00913885"/>
    <w:rsid w:val="00915ABF"/>
    <w:rsid w:val="00917EEB"/>
    <w:rsid w:val="00921CAD"/>
    <w:rsid w:val="00926C69"/>
    <w:rsid w:val="009311ED"/>
    <w:rsid w:val="00931D41"/>
    <w:rsid w:val="00933D18"/>
    <w:rsid w:val="00937FB2"/>
    <w:rsid w:val="00940ED7"/>
    <w:rsid w:val="00942221"/>
    <w:rsid w:val="00950FBB"/>
    <w:rsid w:val="00951118"/>
    <w:rsid w:val="0095122F"/>
    <w:rsid w:val="00953349"/>
    <w:rsid w:val="00953E4C"/>
    <w:rsid w:val="00954E0C"/>
    <w:rsid w:val="009573CD"/>
    <w:rsid w:val="00961156"/>
    <w:rsid w:val="00964F03"/>
    <w:rsid w:val="00964F6D"/>
    <w:rsid w:val="00966EBC"/>
    <w:rsid w:val="00966F1F"/>
    <w:rsid w:val="00973265"/>
    <w:rsid w:val="00975676"/>
    <w:rsid w:val="00976467"/>
    <w:rsid w:val="00976D32"/>
    <w:rsid w:val="0098125D"/>
    <w:rsid w:val="009844F7"/>
    <w:rsid w:val="009938F7"/>
    <w:rsid w:val="00993AB3"/>
    <w:rsid w:val="00994225"/>
    <w:rsid w:val="00994FA2"/>
    <w:rsid w:val="00995A7D"/>
    <w:rsid w:val="00995C39"/>
    <w:rsid w:val="009A05AA"/>
    <w:rsid w:val="009A2D5A"/>
    <w:rsid w:val="009A6509"/>
    <w:rsid w:val="009A6E1A"/>
    <w:rsid w:val="009A6E2F"/>
    <w:rsid w:val="009A7DDF"/>
    <w:rsid w:val="009B2969"/>
    <w:rsid w:val="009B2C7E"/>
    <w:rsid w:val="009B41D1"/>
    <w:rsid w:val="009B6DBD"/>
    <w:rsid w:val="009C108A"/>
    <w:rsid w:val="009C2E47"/>
    <w:rsid w:val="009C6BFB"/>
    <w:rsid w:val="009D0C05"/>
    <w:rsid w:val="009D5C0E"/>
    <w:rsid w:val="009E2C00"/>
    <w:rsid w:val="009E410C"/>
    <w:rsid w:val="009E49AD"/>
    <w:rsid w:val="009E4CC5"/>
    <w:rsid w:val="009E70F4"/>
    <w:rsid w:val="009E72A3"/>
    <w:rsid w:val="009F1AD2"/>
    <w:rsid w:val="009F1FDD"/>
    <w:rsid w:val="009F5BE4"/>
    <w:rsid w:val="00A00C78"/>
    <w:rsid w:val="00A0479E"/>
    <w:rsid w:val="00A07979"/>
    <w:rsid w:val="00A1064D"/>
    <w:rsid w:val="00A11755"/>
    <w:rsid w:val="00A12547"/>
    <w:rsid w:val="00A207FB"/>
    <w:rsid w:val="00A22D30"/>
    <w:rsid w:val="00A24016"/>
    <w:rsid w:val="00A2591F"/>
    <w:rsid w:val="00A265BF"/>
    <w:rsid w:val="00A26F44"/>
    <w:rsid w:val="00A32EF7"/>
    <w:rsid w:val="00A34FAB"/>
    <w:rsid w:val="00A42C43"/>
    <w:rsid w:val="00A4313D"/>
    <w:rsid w:val="00A44740"/>
    <w:rsid w:val="00A50120"/>
    <w:rsid w:val="00A5144F"/>
    <w:rsid w:val="00A57D48"/>
    <w:rsid w:val="00A60351"/>
    <w:rsid w:val="00A61C6D"/>
    <w:rsid w:val="00A6211E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AFC"/>
    <w:rsid w:val="00A93CF6"/>
    <w:rsid w:val="00A9575C"/>
    <w:rsid w:val="00A95B56"/>
    <w:rsid w:val="00A95E81"/>
    <w:rsid w:val="00A969AF"/>
    <w:rsid w:val="00AA2430"/>
    <w:rsid w:val="00AB1A2E"/>
    <w:rsid w:val="00AB328A"/>
    <w:rsid w:val="00AB4918"/>
    <w:rsid w:val="00AB4BC8"/>
    <w:rsid w:val="00AB5F00"/>
    <w:rsid w:val="00AB6BA7"/>
    <w:rsid w:val="00AB771A"/>
    <w:rsid w:val="00AB7BE8"/>
    <w:rsid w:val="00AB7ECB"/>
    <w:rsid w:val="00AC40D8"/>
    <w:rsid w:val="00AD0710"/>
    <w:rsid w:val="00AD2725"/>
    <w:rsid w:val="00AD4DB9"/>
    <w:rsid w:val="00AD6165"/>
    <w:rsid w:val="00AD63C0"/>
    <w:rsid w:val="00AE35B2"/>
    <w:rsid w:val="00AE6AA0"/>
    <w:rsid w:val="00AF6B07"/>
    <w:rsid w:val="00AF6B45"/>
    <w:rsid w:val="00B051ED"/>
    <w:rsid w:val="00B113B9"/>
    <w:rsid w:val="00B119A2"/>
    <w:rsid w:val="00B11CF4"/>
    <w:rsid w:val="00B1335F"/>
    <w:rsid w:val="00B16171"/>
    <w:rsid w:val="00B177F2"/>
    <w:rsid w:val="00B201F1"/>
    <w:rsid w:val="00B2603F"/>
    <w:rsid w:val="00B302B7"/>
    <w:rsid w:val="00B304E7"/>
    <w:rsid w:val="00B318B6"/>
    <w:rsid w:val="00B33CDF"/>
    <w:rsid w:val="00B33D97"/>
    <w:rsid w:val="00B3499B"/>
    <w:rsid w:val="00B41F47"/>
    <w:rsid w:val="00B44468"/>
    <w:rsid w:val="00B51CCC"/>
    <w:rsid w:val="00B53D50"/>
    <w:rsid w:val="00B54635"/>
    <w:rsid w:val="00B60AC9"/>
    <w:rsid w:val="00B62E6B"/>
    <w:rsid w:val="00B631DE"/>
    <w:rsid w:val="00B67323"/>
    <w:rsid w:val="00B715F2"/>
    <w:rsid w:val="00B74071"/>
    <w:rsid w:val="00B74112"/>
    <w:rsid w:val="00B7428E"/>
    <w:rsid w:val="00B74B67"/>
    <w:rsid w:val="00B76843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007C"/>
    <w:rsid w:val="00BD14BC"/>
    <w:rsid w:val="00BD2364"/>
    <w:rsid w:val="00BD28E3"/>
    <w:rsid w:val="00BD446A"/>
    <w:rsid w:val="00BE117E"/>
    <w:rsid w:val="00BE238C"/>
    <w:rsid w:val="00BE3261"/>
    <w:rsid w:val="00BF00EF"/>
    <w:rsid w:val="00BF3384"/>
    <w:rsid w:val="00BF4C91"/>
    <w:rsid w:val="00BF58FC"/>
    <w:rsid w:val="00C0068C"/>
    <w:rsid w:val="00C01B97"/>
    <w:rsid w:val="00C01F77"/>
    <w:rsid w:val="00C01FFC"/>
    <w:rsid w:val="00C04214"/>
    <w:rsid w:val="00C05321"/>
    <w:rsid w:val="00C06AE4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270AF"/>
    <w:rsid w:val="00C32989"/>
    <w:rsid w:val="00C34D9B"/>
    <w:rsid w:val="00C36883"/>
    <w:rsid w:val="00C40928"/>
    <w:rsid w:val="00C40CFF"/>
    <w:rsid w:val="00C41FD7"/>
    <w:rsid w:val="00C42697"/>
    <w:rsid w:val="00C43F01"/>
    <w:rsid w:val="00C47552"/>
    <w:rsid w:val="00C57A81"/>
    <w:rsid w:val="00C57FC4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222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A197A"/>
    <w:rsid w:val="00CB680E"/>
    <w:rsid w:val="00CC1E65"/>
    <w:rsid w:val="00CC567A"/>
    <w:rsid w:val="00CC5E6F"/>
    <w:rsid w:val="00CC688B"/>
    <w:rsid w:val="00CC71F2"/>
    <w:rsid w:val="00CC7C87"/>
    <w:rsid w:val="00CD313E"/>
    <w:rsid w:val="00CD4059"/>
    <w:rsid w:val="00CD4E5A"/>
    <w:rsid w:val="00CD6AFD"/>
    <w:rsid w:val="00CD6B9B"/>
    <w:rsid w:val="00CD7023"/>
    <w:rsid w:val="00CE03CE"/>
    <w:rsid w:val="00CE0F5D"/>
    <w:rsid w:val="00CE1A6A"/>
    <w:rsid w:val="00CF0DFF"/>
    <w:rsid w:val="00D028A9"/>
    <w:rsid w:val="00D0359D"/>
    <w:rsid w:val="00D04DED"/>
    <w:rsid w:val="00D1089A"/>
    <w:rsid w:val="00D116BD"/>
    <w:rsid w:val="00D1393D"/>
    <w:rsid w:val="00D2001A"/>
    <w:rsid w:val="00D20684"/>
    <w:rsid w:val="00D22E15"/>
    <w:rsid w:val="00D23643"/>
    <w:rsid w:val="00D26B62"/>
    <w:rsid w:val="00D32624"/>
    <w:rsid w:val="00D35BED"/>
    <w:rsid w:val="00D3691A"/>
    <w:rsid w:val="00D377E2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28A0"/>
    <w:rsid w:val="00D741B8"/>
    <w:rsid w:val="00D83661"/>
    <w:rsid w:val="00D95C60"/>
    <w:rsid w:val="00D97E7D"/>
    <w:rsid w:val="00DA03F6"/>
    <w:rsid w:val="00DA06FA"/>
    <w:rsid w:val="00DB20E5"/>
    <w:rsid w:val="00DB3439"/>
    <w:rsid w:val="00DB3618"/>
    <w:rsid w:val="00DB468A"/>
    <w:rsid w:val="00DB7739"/>
    <w:rsid w:val="00DC2946"/>
    <w:rsid w:val="00DC550F"/>
    <w:rsid w:val="00DC6087"/>
    <w:rsid w:val="00DC64FD"/>
    <w:rsid w:val="00DD4F61"/>
    <w:rsid w:val="00DD53C3"/>
    <w:rsid w:val="00DD694B"/>
    <w:rsid w:val="00DD6D15"/>
    <w:rsid w:val="00DE127F"/>
    <w:rsid w:val="00DE330B"/>
    <w:rsid w:val="00DE424A"/>
    <w:rsid w:val="00DE4419"/>
    <w:rsid w:val="00DE5C96"/>
    <w:rsid w:val="00DE67C4"/>
    <w:rsid w:val="00DF0ACA"/>
    <w:rsid w:val="00DF2245"/>
    <w:rsid w:val="00DF2A93"/>
    <w:rsid w:val="00DF4CE9"/>
    <w:rsid w:val="00DF77CF"/>
    <w:rsid w:val="00E026E8"/>
    <w:rsid w:val="00E04A42"/>
    <w:rsid w:val="00E060F7"/>
    <w:rsid w:val="00E14C47"/>
    <w:rsid w:val="00E1626D"/>
    <w:rsid w:val="00E16B17"/>
    <w:rsid w:val="00E22698"/>
    <w:rsid w:val="00E25B7C"/>
    <w:rsid w:val="00E3076B"/>
    <w:rsid w:val="00E3250F"/>
    <w:rsid w:val="00E33224"/>
    <w:rsid w:val="00E3725B"/>
    <w:rsid w:val="00E41E0E"/>
    <w:rsid w:val="00E434D1"/>
    <w:rsid w:val="00E543D4"/>
    <w:rsid w:val="00E56CBB"/>
    <w:rsid w:val="00E6096F"/>
    <w:rsid w:val="00E6134E"/>
    <w:rsid w:val="00E61950"/>
    <w:rsid w:val="00E61E51"/>
    <w:rsid w:val="00E64AAF"/>
    <w:rsid w:val="00E6552A"/>
    <w:rsid w:val="00E6707D"/>
    <w:rsid w:val="00E70337"/>
    <w:rsid w:val="00E70E7C"/>
    <w:rsid w:val="00E71313"/>
    <w:rsid w:val="00E72606"/>
    <w:rsid w:val="00E73593"/>
    <w:rsid w:val="00E73C3E"/>
    <w:rsid w:val="00E74050"/>
    <w:rsid w:val="00E745AC"/>
    <w:rsid w:val="00E75BB6"/>
    <w:rsid w:val="00E82496"/>
    <w:rsid w:val="00E834CD"/>
    <w:rsid w:val="00E846DC"/>
    <w:rsid w:val="00E84E9D"/>
    <w:rsid w:val="00E86CEE"/>
    <w:rsid w:val="00E9150F"/>
    <w:rsid w:val="00E927AB"/>
    <w:rsid w:val="00E935AF"/>
    <w:rsid w:val="00E95993"/>
    <w:rsid w:val="00EB0E20"/>
    <w:rsid w:val="00EB1A80"/>
    <w:rsid w:val="00EB457B"/>
    <w:rsid w:val="00EC176C"/>
    <w:rsid w:val="00EC1AD8"/>
    <w:rsid w:val="00EC47C4"/>
    <w:rsid w:val="00EC4874"/>
    <w:rsid w:val="00EC4F3A"/>
    <w:rsid w:val="00EC5E74"/>
    <w:rsid w:val="00EC6399"/>
    <w:rsid w:val="00ED000C"/>
    <w:rsid w:val="00ED41D8"/>
    <w:rsid w:val="00ED5527"/>
    <w:rsid w:val="00ED594D"/>
    <w:rsid w:val="00EE36E1"/>
    <w:rsid w:val="00EE58CE"/>
    <w:rsid w:val="00EE6228"/>
    <w:rsid w:val="00EE7AC7"/>
    <w:rsid w:val="00EE7B3F"/>
    <w:rsid w:val="00EF1F80"/>
    <w:rsid w:val="00EF3758"/>
    <w:rsid w:val="00EF3A8A"/>
    <w:rsid w:val="00EF547A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927"/>
    <w:rsid w:val="00F2396E"/>
    <w:rsid w:val="00F26A05"/>
    <w:rsid w:val="00F307CE"/>
    <w:rsid w:val="00F33EAB"/>
    <w:rsid w:val="00F354C5"/>
    <w:rsid w:val="00F37108"/>
    <w:rsid w:val="00F40449"/>
    <w:rsid w:val="00F4079B"/>
    <w:rsid w:val="00F45B8E"/>
    <w:rsid w:val="00F47BAA"/>
    <w:rsid w:val="00F50CBD"/>
    <w:rsid w:val="00F520FE"/>
    <w:rsid w:val="00F52EAB"/>
    <w:rsid w:val="00F5375B"/>
    <w:rsid w:val="00F55780"/>
    <w:rsid w:val="00F55A04"/>
    <w:rsid w:val="00F601BB"/>
    <w:rsid w:val="00F61A31"/>
    <w:rsid w:val="00F66F00"/>
    <w:rsid w:val="00F67A2D"/>
    <w:rsid w:val="00F709CE"/>
    <w:rsid w:val="00F70A1B"/>
    <w:rsid w:val="00F716C6"/>
    <w:rsid w:val="00F72FDF"/>
    <w:rsid w:val="00F756F1"/>
    <w:rsid w:val="00F7594D"/>
    <w:rsid w:val="00F75960"/>
    <w:rsid w:val="00F8108C"/>
    <w:rsid w:val="00F82526"/>
    <w:rsid w:val="00F84672"/>
    <w:rsid w:val="00F84802"/>
    <w:rsid w:val="00F90B01"/>
    <w:rsid w:val="00F92622"/>
    <w:rsid w:val="00F95A8C"/>
    <w:rsid w:val="00FA06FD"/>
    <w:rsid w:val="00FA2D2E"/>
    <w:rsid w:val="00FA35FC"/>
    <w:rsid w:val="00FA4EE2"/>
    <w:rsid w:val="00FA515B"/>
    <w:rsid w:val="00FA6B90"/>
    <w:rsid w:val="00FA70F9"/>
    <w:rsid w:val="00FA74CB"/>
    <w:rsid w:val="00FB207A"/>
    <w:rsid w:val="00FB2886"/>
    <w:rsid w:val="00FB466E"/>
    <w:rsid w:val="00FC02F3"/>
    <w:rsid w:val="00FC5084"/>
    <w:rsid w:val="00FC66BC"/>
    <w:rsid w:val="00FC752C"/>
    <w:rsid w:val="00FC7A7A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29B3"/>
    <w:rsid w:val="00FF0BF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19150"/>
  <w15:docId w15:val="{72CBEC4E-2F7B-437C-971E-44065DED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F5927"/>
    <w:pPr>
      <w:tabs>
        <w:tab w:val="clear" w:pos="567"/>
      </w:tabs>
      <w:spacing w:line="240" w:lineRule="auto"/>
      <w:ind w:left="720"/>
      <w:contextualSpacing/>
    </w:pPr>
    <w:rPr>
      <w:rFonts w:eastAsia="PMingLiU"/>
      <w:szCs w:val="22"/>
    </w:rPr>
  </w:style>
  <w:style w:type="paragraph" w:customStyle="1" w:styleId="HPRAMainBodyText">
    <w:name w:val="HPRA_MainBodyText"/>
    <w:basedOn w:val="Normln"/>
    <w:link w:val="HPRAMainBodyTextChar"/>
    <w:qFormat/>
    <w:rsid w:val="00ED41D8"/>
    <w:pPr>
      <w:tabs>
        <w:tab w:val="clear" w:pos="567"/>
      </w:tabs>
      <w:spacing w:line="240" w:lineRule="auto"/>
    </w:pPr>
    <w:rPr>
      <w:rFonts w:ascii="Segoe UI" w:eastAsiaTheme="minorHAnsi" w:hAnsi="Segoe UI" w:cs="Segoe UI"/>
      <w:sz w:val="20"/>
    </w:rPr>
  </w:style>
  <w:style w:type="character" w:customStyle="1" w:styleId="HPRAMainBodyTextChar">
    <w:name w:val="HPRA_MainBodyText Char"/>
    <w:link w:val="HPRAMainBodyText"/>
    <w:locked/>
    <w:rsid w:val="00ED41D8"/>
    <w:rPr>
      <w:rFonts w:ascii="Segoe UI" w:eastAsiaTheme="minorHAnsi" w:hAnsi="Segoe UI" w:cs="Segoe UI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831F-B12F-42EB-8659-0FD267D6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2228</Words>
  <Characters>13151</Characters>
  <Application>Microsoft Office Word</Application>
  <DocSecurity>0</DocSecurity>
  <Lines>109</Lines>
  <Paragraphs>30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keywords/>
  <dc:description/>
  <cp:lastModifiedBy>Neugebauerová Kateřina</cp:lastModifiedBy>
  <cp:revision>44</cp:revision>
  <cp:lastPrinted>2026-02-17T10:45:00Z</cp:lastPrinted>
  <dcterms:created xsi:type="dcterms:W3CDTF">2025-06-24T15:02:00Z</dcterms:created>
  <dcterms:modified xsi:type="dcterms:W3CDTF">2026-02-17T10:45:00Z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_DocHome">
    <vt:i4>609649363</vt:i4>
  </property>
</Properties>
</file>