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73898" w14:textId="2570A231" w:rsidR="00EF49A3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6D0AE6C6" w14:textId="564423E1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0F214296" w14:textId="0A0431CA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5DF6B5D3" w14:textId="5CAA3645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08F0CE03" w14:textId="191BED82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5F735257" w14:textId="662AC3B2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11A279AE" w14:textId="2122BEE9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4D02BB0C" w14:textId="7CCEA35B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1E5DDEC2" w14:textId="12378655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29F8C347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065BB55C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1D9F4BD6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728318F1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5EDB8276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065D78F0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3BE63E22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5D3A8231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549F9942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3DEF170A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5D4542E1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019A0854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23E0282B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i/>
          <w:color w:val="008000"/>
          <w:sz w:val="22"/>
          <w:szCs w:val="22"/>
          <w:lang w:val="cs-CZ"/>
        </w:rPr>
      </w:pPr>
    </w:p>
    <w:p w14:paraId="4C5985E0" w14:textId="7DE90CF6" w:rsidR="000D3C01" w:rsidRDefault="000D3C01" w:rsidP="005503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PŘÍLOHA I</w:t>
      </w:r>
    </w:p>
    <w:p w14:paraId="70A33ED0" w14:textId="77777777" w:rsidR="00885E3B" w:rsidRPr="005503BB" w:rsidRDefault="00885E3B" w:rsidP="005503B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</w:p>
    <w:p w14:paraId="2171C535" w14:textId="77777777" w:rsidR="000D3C01" w:rsidRPr="005503BB" w:rsidRDefault="000D3C01" w:rsidP="005503BB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SOUHRN ÚDAJŮ O PŘÍPRAVKU</w:t>
      </w:r>
    </w:p>
    <w:p w14:paraId="4B4D6E43" w14:textId="77777777" w:rsidR="00EF49A3" w:rsidRPr="005503BB" w:rsidRDefault="00EF49A3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br w:type="page"/>
      </w:r>
      <w:bookmarkStart w:id="0" w:name="_GoBack"/>
      <w:bookmarkEnd w:id="0"/>
    </w:p>
    <w:p w14:paraId="24A74C23" w14:textId="24EB5F14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lastRenderedPageBreak/>
        <w:t>1.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NÁZEV VETERINÁRNÍHO LÉČIVÉHO PŘÍPRAVKU</w:t>
      </w:r>
    </w:p>
    <w:p w14:paraId="2AC6654D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12091F0" w14:textId="18290F1F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Optivar 500 mg</w:t>
      </w:r>
      <w:r w:rsidR="00814C19" w:rsidRPr="005503BB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proužky do úlu pro včely medonosné</w:t>
      </w:r>
    </w:p>
    <w:p w14:paraId="7A35CB0F" w14:textId="7CBC047E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4055454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98B7902" w14:textId="6910F67C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2.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KVALITATIVNÍ A KVANTITATIVNÍ SLOŽENÍ</w:t>
      </w:r>
    </w:p>
    <w:p w14:paraId="4BFA6670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6AE0CE2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Každý proužek obsahuje:</w:t>
      </w:r>
    </w:p>
    <w:p w14:paraId="2E30F4B2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Léčivá látka:</w:t>
      </w:r>
    </w:p>
    <w:p w14:paraId="27282C27" w14:textId="3BCAA124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Amitraz</w:t>
      </w:r>
      <w:r w:rsidR="005301D8" w:rsidRPr="005503BB">
        <w:rPr>
          <w:rFonts w:ascii="Times New Roman" w:hAnsi="Times New Roman" w:cs="Times New Roman"/>
          <w:sz w:val="22"/>
          <w:szCs w:val="22"/>
          <w:lang w:val="cs-CZ"/>
        </w:rPr>
        <w:t>um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500 mg</w:t>
      </w:r>
    </w:p>
    <w:p w14:paraId="4B32A5B1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Pomocné látky: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0"/>
      </w:tblGrid>
      <w:tr w:rsidR="000D3C01" w:rsidRPr="005503BB" w14:paraId="580CBC94" w14:textId="77777777"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B42C0" w14:textId="77777777" w:rsidR="000D3C01" w:rsidRPr="005503BB" w:rsidRDefault="000D3C01" w:rsidP="0055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5503B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cs-CZ"/>
              </w:rPr>
              <w:t>Kvalitativní složení pomocných látek a dalších složek</w:t>
            </w:r>
          </w:p>
        </w:tc>
      </w:tr>
      <w:tr w:rsidR="000D3C01" w:rsidRPr="005503BB" w14:paraId="7A3F8A1C" w14:textId="77777777"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B6B47" w14:textId="77777777" w:rsidR="000D3C01" w:rsidRPr="005503BB" w:rsidRDefault="000D3C01" w:rsidP="0055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5503BB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kopolymer ethylenvinylacetátu</w:t>
            </w:r>
          </w:p>
        </w:tc>
      </w:tr>
      <w:tr w:rsidR="000D3C01" w:rsidRPr="005503BB" w14:paraId="58D0B584" w14:textId="77777777"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2562B" w14:textId="77777777" w:rsidR="000D3C01" w:rsidRPr="005503BB" w:rsidRDefault="000D3C01" w:rsidP="0055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5503BB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oxid vápenatý (E529)</w:t>
            </w:r>
          </w:p>
        </w:tc>
      </w:tr>
      <w:tr w:rsidR="000D3C01" w:rsidRPr="005503BB" w14:paraId="2DD4B01B" w14:textId="77777777"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07992" w14:textId="77777777" w:rsidR="000D3C01" w:rsidRPr="005503BB" w:rsidRDefault="000D3C01" w:rsidP="0055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5503BB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erukamid</w:t>
            </w:r>
          </w:p>
        </w:tc>
      </w:tr>
    </w:tbl>
    <w:p w14:paraId="4DB34D3E" w14:textId="77777777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374BC05" w14:textId="49333CE1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Obdélníkové neprůhledné proužky do úlu bílé až béžové barvy.</w:t>
      </w:r>
    </w:p>
    <w:p w14:paraId="405DFF35" w14:textId="6038BEE9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Proužky jsou spojeny po dvojicích perforovanou linií a jsou opatřeny otvory a vestavěným závěsným systémem pro snadné zavěšení.</w:t>
      </w:r>
    </w:p>
    <w:p w14:paraId="7C00E3E2" w14:textId="2CD1FCA0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ED55B3F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114639A" w14:textId="3004D94F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KLINICKÉ INFORMACE</w:t>
      </w:r>
    </w:p>
    <w:p w14:paraId="11351DEA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63DF27F" w14:textId="4893BAF7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3.1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Cílové druhy zvířat</w:t>
      </w:r>
    </w:p>
    <w:p w14:paraId="71F5B9F4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18CCD2E" w14:textId="37076E3C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Včel</w:t>
      </w:r>
      <w:r w:rsidR="00AA4F3A">
        <w:rPr>
          <w:rFonts w:ascii="Times New Roman" w:hAnsi="Times New Roman" w:cs="Times New Roman"/>
          <w:sz w:val="22"/>
          <w:szCs w:val="22"/>
          <w:lang w:val="cs-CZ"/>
        </w:rPr>
        <w:t>y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medonosn</w:t>
      </w:r>
      <w:r w:rsidR="00AA4F3A">
        <w:rPr>
          <w:rFonts w:ascii="Times New Roman" w:hAnsi="Times New Roman" w:cs="Times New Roman"/>
          <w:sz w:val="22"/>
          <w:szCs w:val="22"/>
          <w:lang w:val="cs-CZ"/>
        </w:rPr>
        <w:t>é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(</w:t>
      </w:r>
      <w:proofErr w:type="spellStart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>Apis</w:t>
      </w:r>
      <w:proofErr w:type="spellEnd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>mellifera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>)</w:t>
      </w:r>
    </w:p>
    <w:p w14:paraId="3FE41A4E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1A8056D" w14:textId="35688532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3.2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Indikace pro použití pro každý cílový druh zvířat</w:t>
      </w:r>
    </w:p>
    <w:p w14:paraId="4C2B31B2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5E4E469" w14:textId="331CCD0A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Léčba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varro</w:t>
      </w:r>
      <w:r w:rsidR="00AA4F3A">
        <w:rPr>
          <w:rFonts w:ascii="Times New Roman" w:hAnsi="Times New Roman" w:cs="Times New Roman"/>
          <w:sz w:val="22"/>
          <w:szCs w:val="22"/>
          <w:lang w:val="cs-CZ"/>
        </w:rPr>
        <w:t>á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zy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způsobené roztočem </w:t>
      </w:r>
      <w:proofErr w:type="spellStart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>Varroa</w:t>
      </w:r>
      <w:proofErr w:type="spellEnd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>destructor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citlivým na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amitraz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6EF081B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91B963A" w14:textId="4838BA43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3.3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Kontraindikace</w:t>
      </w:r>
    </w:p>
    <w:p w14:paraId="61D9CDA2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25F1DE3" w14:textId="7BB2B7A9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Nejsou.</w:t>
      </w:r>
    </w:p>
    <w:p w14:paraId="123CB93F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60A801A" w14:textId="359F82CC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3.4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Zvláštní upozornění</w:t>
      </w:r>
    </w:p>
    <w:p w14:paraId="68E294E7" w14:textId="77777777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BE16234" w14:textId="5D5B163C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Všechna včelstva ve stejné včel</w:t>
      </w:r>
      <w:r w:rsidR="00AA4F3A">
        <w:rPr>
          <w:rFonts w:ascii="Times New Roman" w:hAnsi="Times New Roman" w:cs="Times New Roman"/>
          <w:sz w:val="22"/>
          <w:szCs w:val="22"/>
          <w:lang w:val="cs-CZ"/>
        </w:rPr>
        <w:t>nici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AA4F3A">
        <w:rPr>
          <w:rFonts w:ascii="Times New Roman" w:hAnsi="Times New Roman" w:cs="Times New Roman"/>
          <w:sz w:val="22"/>
          <w:szCs w:val="22"/>
          <w:lang w:val="cs-CZ"/>
        </w:rPr>
        <w:t>by měla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být ošetřena současně, aby se zabránilo opětovnému napadení.</w:t>
      </w:r>
    </w:p>
    <w:p w14:paraId="60812900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Proužky znovu nepoužívejte.</w:t>
      </w:r>
    </w:p>
    <w:p w14:paraId="560EC31C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Nevhodné použití veterinárního léčivého přípravku by mohlo vést ke zvýšenému riziku vzniku rezistence a v konečném důsledku k neúčinné léčbě.</w:t>
      </w:r>
    </w:p>
    <w:p w14:paraId="0F5FE869" w14:textId="28E85B8C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Včelstva </w:t>
      </w:r>
      <w:r w:rsidR="00CB134D">
        <w:rPr>
          <w:rFonts w:ascii="Times New Roman" w:hAnsi="Times New Roman" w:cs="Times New Roman"/>
          <w:sz w:val="22"/>
          <w:szCs w:val="22"/>
          <w:lang w:val="cs-CZ"/>
        </w:rPr>
        <w:t>by měla</w:t>
      </w:r>
      <w:r w:rsidR="00CB134D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být pravidelně monitorována z hlediska úrovně napadení roztočem </w:t>
      </w:r>
      <w:proofErr w:type="spellStart"/>
      <w:r w:rsidR="00CB134D" w:rsidRPr="00885E3B">
        <w:rPr>
          <w:rFonts w:ascii="Times New Roman" w:hAnsi="Times New Roman" w:cs="Times New Roman"/>
          <w:i/>
          <w:sz w:val="22"/>
          <w:szCs w:val="22"/>
          <w:lang w:val="cs-CZ"/>
        </w:rPr>
        <w:t>V</w:t>
      </w:r>
      <w:r w:rsidRPr="00885E3B">
        <w:rPr>
          <w:rFonts w:ascii="Times New Roman" w:hAnsi="Times New Roman" w:cs="Times New Roman"/>
          <w:i/>
          <w:sz w:val="22"/>
          <w:szCs w:val="22"/>
          <w:lang w:val="cs-CZ"/>
        </w:rPr>
        <w:t>arroa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>, zejména před léčbou a po určitou dobu po ní.</w:t>
      </w:r>
    </w:p>
    <w:p w14:paraId="6D63B273" w14:textId="22DE6048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Účinnost </w:t>
      </w:r>
      <w:r w:rsidR="00CB134D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přípravku není přímo ovlivněna vnější teplotou, může však být ovlivněna aktivitou včel. Viz bod 3.9 Cesty podání a dávkování.</w:t>
      </w:r>
    </w:p>
    <w:p w14:paraId="24C1C95C" w14:textId="74C1C17C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Veterinární léčivý přípravek </w:t>
      </w:r>
      <w:r w:rsidR="00CB134D">
        <w:rPr>
          <w:rFonts w:ascii="Times New Roman" w:hAnsi="Times New Roman" w:cs="Times New Roman"/>
          <w:sz w:val="22"/>
          <w:szCs w:val="22"/>
          <w:lang w:val="cs-CZ"/>
        </w:rPr>
        <w:t>by měl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být používán jako součást integrovaného programu kontroly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varro</w:t>
      </w:r>
      <w:r w:rsidR="00CB134D">
        <w:rPr>
          <w:rFonts w:ascii="Times New Roman" w:hAnsi="Times New Roman" w:cs="Times New Roman"/>
          <w:sz w:val="22"/>
          <w:szCs w:val="22"/>
          <w:lang w:val="cs-CZ"/>
        </w:rPr>
        <w:t>á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zy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CB134D">
        <w:rPr>
          <w:rFonts w:ascii="Times New Roman" w:hAnsi="Times New Roman" w:cs="Times New Roman"/>
          <w:sz w:val="22"/>
          <w:szCs w:val="22"/>
          <w:lang w:val="cs-CZ"/>
        </w:rPr>
        <w:t>měla by</w:t>
      </w:r>
      <w:r w:rsidR="00CB134D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být uplatňována rotace léčby s použitím veterinárních léčivých přípravků obsahujících různé léčivé látky z různých chemických </w:t>
      </w:r>
      <w:r w:rsidR="00CB134D">
        <w:rPr>
          <w:rFonts w:ascii="Times New Roman" w:hAnsi="Times New Roman" w:cs="Times New Roman"/>
          <w:sz w:val="22"/>
          <w:szCs w:val="22"/>
          <w:lang w:val="cs-CZ"/>
        </w:rPr>
        <w:t>skupin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39569155" w14:textId="5B202072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U některých populací roztoče </w:t>
      </w:r>
      <w:proofErr w:type="spellStart"/>
      <w:r w:rsidR="00CB134D" w:rsidRPr="00885E3B">
        <w:rPr>
          <w:rFonts w:ascii="Times New Roman" w:hAnsi="Times New Roman" w:cs="Times New Roman"/>
          <w:i/>
          <w:sz w:val="22"/>
          <w:szCs w:val="22"/>
          <w:lang w:val="cs-CZ"/>
        </w:rPr>
        <w:t>V</w:t>
      </w:r>
      <w:r w:rsidRPr="00885E3B">
        <w:rPr>
          <w:rFonts w:ascii="Times New Roman" w:hAnsi="Times New Roman" w:cs="Times New Roman"/>
          <w:i/>
          <w:sz w:val="22"/>
          <w:szCs w:val="22"/>
          <w:lang w:val="cs-CZ"/>
        </w:rPr>
        <w:t>arroa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byla hlášena rezistence k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CB134D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49124B96" w14:textId="7A899C5D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V oblastech s podezřením na rezistenci k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C709AB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se doporučuje, aby použití veterinárního léčivého přípravku bylo založeno na výsledcích testování citlivosti, a doporučuje se vyžádat si radu veterinárního lékaře nebo místního včelařského inspektora.</w:t>
      </w:r>
    </w:p>
    <w:p w14:paraId="184164DA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DEA8DEF" w14:textId="437E1613" w:rsidR="000D3C01" w:rsidRDefault="000D3C01" w:rsidP="00180D28">
      <w:pPr>
        <w:keepNext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lastRenderedPageBreak/>
        <w:t>3.5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Zvláštní opatření pro použití</w:t>
      </w:r>
    </w:p>
    <w:p w14:paraId="27CF1EFB" w14:textId="77777777" w:rsidR="005503BB" w:rsidRPr="005503BB" w:rsidRDefault="005503BB" w:rsidP="00180D28">
      <w:pPr>
        <w:keepNext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A53FEDE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Zvláštní opatření pro bezpečné použití u cílových druhů zvířat:</w:t>
      </w:r>
    </w:p>
    <w:p w14:paraId="5365337C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Nepřekračujte ani nesnižujte doporučenou dávku a doporučenou dobu použití.</w:t>
      </w:r>
    </w:p>
    <w:p w14:paraId="6C74F5A9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Na konci léčby proužky odstraňte.</w:t>
      </w:r>
    </w:p>
    <w:p w14:paraId="5E013786" w14:textId="6E5242AF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Bezpečnostní profil </w:t>
      </w:r>
      <w:r w:rsidR="00D63FAE">
        <w:rPr>
          <w:rFonts w:ascii="Times New Roman" w:hAnsi="Times New Roman" w:cs="Times New Roman"/>
          <w:sz w:val="22"/>
          <w:szCs w:val="22"/>
          <w:lang w:val="cs-CZ"/>
        </w:rPr>
        <w:t xml:space="preserve">veterinárního léčivého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přípravku nebyl stanoven u slabých včelstev, tj. u včelstev obsahujících nižší počet včel, než je pro dané roční období očekáváno.</w:t>
      </w:r>
    </w:p>
    <w:p w14:paraId="057E501E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FBBF581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Zvláštní opatření pro osobu, která podává veterinární léčivý přípravek zvířatům:</w:t>
      </w:r>
    </w:p>
    <w:p w14:paraId="18C6504D" w14:textId="0C408BA8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Tento veterinární léčivý přípravek obsahuje amitraz, který může u lidí vyvolat </w:t>
      </w:r>
      <w:r w:rsidR="0051333C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nežádoucí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neurologické účinky.</w:t>
      </w:r>
    </w:p>
    <w:p w14:paraId="0B0345F6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Amitraz je inhibitor monoaminooxidázy. Proto dbejte zvláštní opatrnosti, pokud užíváte inhibitory monoaminooxidázy, hypotenzní léčbu nebo pokud máte cukrovku.</w:t>
      </w:r>
    </w:p>
    <w:p w14:paraId="179F9362" w14:textId="1A1F0D3B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Při </w:t>
      </w:r>
      <w:r w:rsidR="0051333C">
        <w:rPr>
          <w:rFonts w:ascii="Times New Roman" w:hAnsi="Times New Roman" w:cs="Times New Roman"/>
          <w:sz w:val="22"/>
          <w:szCs w:val="22"/>
          <w:lang w:val="cs-CZ"/>
        </w:rPr>
        <w:t>nakládání</w:t>
      </w:r>
      <w:r w:rsidR="0051333C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s veterinárním léčivým přípravkem </w:t>
      </w:r>
      <w:r w:rsidR="0051333C">
        <w:rPr>
          <w:rFonts w:ascii="Times New Roman" w:hAnsi="Times New Roman" w:cs="Times New Roman"/>
          <w:sz w:val="22"/>
          <w:szCs w:val="22"/>
          <w:lang w:val="cs-CZ"/>
        </w:rPr>
        <w:t xml:space="preserve">by se měly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použív</w:t>
      </w:r>
      <w:r w:rsidR="0051333C">
        <w:rPr>
          <w:rFonts w:ascii="Times New Roman" w:hAnsi="Times New Roman" w:cs="Times New Roman"/>
          <w:sz w:val="22"/>
          <w:szCs w:val="22"/>
          <w:lang w:val="cs-CZ"/>
        </w:rPr>
        <w:t xml:space="preserve">at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osobní ochranné prostředky skládající se z nepropustných rukavic a běžného </w:t>
      </w:r>
      <w:r w:rsidR="00E81D7B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včelařského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ochranného oděvu.</w:t>
      </w:r>
    </w:p>
    <w:p w14:paraId="5FE5E619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Zabraňte kontaktu s kůží. V případě kontaktu důkladně omyjte mýdlem a vodou.</w:t>
      </w:r>
    </w:p>
    <w:p w14:paraId="11B94293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Zabraňte kontaktu s očima. V případě kontaktu ihned vypláchněte velkým množstvím vody.</w:t>
      </w:r>
    </w:p>
    <w:p w14:paraId="0B3BADB0" w14:textId="74ECF682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Pokud dojde k podráždění, vyhledejte ihned lékařskou pomoc a ukažte příbalovou informaci nebo etiketu </w:t>
      </w:r>
      <w:r w:rsidR="00E81D7B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praktickému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lékaři.</w:t>
      </w:r>
    </w:p>
    <w:p w14:paraId="0B82F9D4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Během používání veterinárního léčivého přípravku nejezte, nepijte a nekuřte.</w:t>
      </w:r>
    </w:p>
    <w:p w14:paraId="3AB6F908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Po použití si důkladně umyjte ruce.</w:t>
      </w:r>
    </w:p>
    <w:p w14:paraId="187C7888" w14:textId="344B5D03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Během </w:t>
      </w:r>
      <w:r w:rsidR="0051333C">
        <w:rPr>
          <w:rFonts w:ascii="Times New Roman" w:hAnsi="Times New Roman" w:cs="Times New Roman"/>
          <w:sz w:val="22"/>
          <w:szCs w:val="22"/>
          <w:lang w:val="cs-CZ"/>
        </w:rPr>
        <w:t>podávání</w:t>
      </w:r>
      <w:r w:rsidR="0051333C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udržujte děti v dostatečné vzdálenosti.</w:t>
      </w:r>
    </w:p>
    <w:p w14:paraId="7A28BDF6" w14:textId="59D4357C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V případě náhodného požití vyhledejte ihned lékařskou pomoc a ukažte příbalovou informaci nebo etiketu </w:t>
      </w:r>
      <w:r w:rsidR="00E81D7B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praktickému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lékaři.</w:t>
      </w:r>
    </w:p>
    <w:p w14:paraId="3D14C4CB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80C8E4A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Zvláštní opatření pro ochranu životního prostředí:</w:t>
      </w:r>
    </w:p>
    <w:p w14:paraId="64BB738A" w14:textId="7C0B752F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Zabraňte vniknutí do vodních toků</w:t>
      </w:r>
      <w:r w:rsidR="00E412D0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včetně zbytk</w:t>
      </w:r>
      <w:r w:rsidR="00E412D0">
        <w:rPr>
          <w:rFonts w:ascii="Times New Roman" w:hAnsi="Times New Roman" w:cs="Times New Roman"/>
          <w:sz w:val="22"/>
          <w:szCs w:val="22"/>
          <w:lang w:val="cs-CZ"/>
        </w:rPr>
        <w:t>ových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a odpadní</w:t>
      </w:r>
      <w:r w:rsidR="00E412D0">
        <w:rPr>
          <w:rFonts w:ascii="Times New Roman" w:hAnsi="Times New Roman" w:cs="Times New Roman"/>
          <w:sz w:val="22"/>
          <w:szCs w:val="22"/>
          <w:lang w:val="cs-CZ"/>
        </w:rPr>
        <w:t>ch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vod, protože amitraz může být nebezpečný pro ryby a vodní organismy.</w:t>
      </w:r>
    </w:p>
    <w:p w14:paraId="6907A499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64C59FD" w14:textId="4360B0DE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3.6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Nežádoucí účinky</w:t>
      </w:r>
    </w:p>
    <w:p w14:paraId="4026F3F9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A25051E" w14:textId="5B308E1A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Včely medonosné:</w:t>
      </w:r>
    </w:p>
    <w:p w14:paraId="70C87101" w14:textId="77777777" w:rsidR="00057E5D" w:rsidRPr="005503BB" w:rsidRDefault="00057E5D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6"/>
        <w:gridCol w:w="4414"/>
      </w:tblGrid>
      <w:tr w:rsidR="000D3C01" w:rsidRPr="005503BB" w14:paraId="34F658C6" w14:textId="77777777"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2314E" w14:textId="77777777" w:rsidR="000D3C01" w:rsidRPr="005503BB" w:rsidRDefault="000D3C01" w:rsidP="0055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5503BB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Velmi vzácné</w:t>
            </w:r>
          </w:p>
          <w:p w14:paraId="44BC5294" w14:textId="77777777" w:rsidR="00EF49A3" w:rsidRPr="005503BB" w:rsidRDefault="000D3C01" w:rsidP="0055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5503BB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(&lt;1 zvíře / 10 000 léčených zvířat, </w:t>
            </w:r>
          </w:p>
          <w:p w14:paraId="3B6A5C45" w14:textId="4D68B388" w:rsidR="000D3C01" w:rsidRPr="005503BB" w:rsidRDefault="000D3C01" w:rsidP="0055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5503BB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včetně ojedinělých hlášení)</w:t>
            </w:r>
          </w:p>
        </w:tc>
        <w:tc>
          <w:tcPr>
            <w:tcW w:w="2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2A239" w14:textId="77777777" w:rsidR="000D3C01" w:rsidRPr="005503BB" w:rsidRDefault="000D3C01" w:rsidP="00550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5503BB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Porucha chování*</w:t>
            </w:r>
          </w:p>
        </w:tc>
      </w:tr>
    </w:tbl>
    <w:p w14:paraId="6823D938" w14:textId="77777777" w:rsidR="00057E5D" w:rsidRDefault="00057E5D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9B86557" w14:textId="4251350D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*Při prvním vložení proužků do úlu může být pozorována přechodná změna chování (např. úniková reakce, agresivní chování). Předpokládá se, že jde spíše o obranné chování než o nežádoucí reakci na veterinární léčivý přípravek jako takový.</w:t>
      </w:r>
    </w:p>
    <w:p w14:paraId="406D094B" w14:textId="77777777" w:rsidR="00057E5D" w:rsidRPr="005503BB" w:rsidRDefault="00057E5D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214AA66" w14:textId="4F39EF2B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 w:rsidR="00057E5D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nebo jeho místnímu zástupci</w:t>
      </w:r>
      <w:r w:rsidR="00057E5D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nebo příslušnému vnitrostátnímu orgánu prostřednictvím národního systému hlášení. Podrobné kontaktní údaje naleznete v příbalové informaci.</w:t>
      </w:r>
    </w:p>
    <w:p w14:paraId="5A4D1081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DD9E531" w14:textId="6B2BEEB8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3.7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Použití v průběhu březosti, laktace nebo snášky</w:t>
      </w:r>
    </w:p>
    <w:p w14:paraId="7C9E5BC7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B3A7659" w14:textId="6233D727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Neuplatňuje se.</w:t>
      </w:r>
    </w:p>
    <w:p w14:paraId="79D1E8BA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CDAFD3D" w14:textId="22D7F9DF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3.8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Interakce s jinými léčivými přípravky a další formy interakce</w:t>
      </w:r>
    </w:p>
    <w:p w14:paraId="402C08FD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831DCE3" w14:textId="5E9B8B13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Toxicita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D63FAE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se zvyšuje v přítomnosti solí mědi a terapeutická aktivita se snižuje v přítomnosti piperonylbutoxidu. Souběžnému použití těchto látek s amitrazem je třeba se vyhnout.</w:t>
      </w:r>
    </w:p>
    <w:p w14:paraId="7BF3AE21" w14:textId="1033539D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lastRenderedPageBreak/>
        <w:t xml:space="preserve">Amitraz má antagonistickou interakci s kyselinou šťavelovou v důsledku hydrolytického rozkladu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D63FAE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za kyselých podmínek a předléčení amitrazem zvýšilo toxicitu tau-fluvalinátu 5krát.</w:t>
      </w:r>
    </w:p>
    <w:p w14:paraId="4E6C14A2" w14:textId="344CEB51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Nepoužívejte současně žádný jiný antiparazitární přípravek.</w:t>
      </w:r>
    </w:p>
    <w:p w14:paraId="05EC4677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3607361" w14:textId="692C0F09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3.9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Cesty podání a dávkování</w:t>
      </w:r>
    </w:p>
    <w:p w14:paraId="63CFC1DB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63712A0" w14:textId="1C1B5D3E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Po</w:t>
      </w:r>
      <w:r w:rsidR="00D63FAE">
        <w:rPr>
          <w:rFonts w:ascii="Times New Roman" w:hAnsi="Times New Roman" w:cs="Times New Roman"/>
          <w:sz w:val="22"/>
          <w:szCs w:val="22"/>
          <w:lang w:val="cs-CZ"/>
        </w:rPr>
        <w:t>dán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í v</w:t>
      </w:r>
      <w:r w:rsidR="00D63FAE">
        <w:rPr>
          <w:rFonts w:ascii="Times New Roman" w:hAnsi="Times New Roman" w:cs="Times New Roman"/>
          <w:sz w:val="22"/>
          <w:szCs w:val="22"/>
          <w:lang w:val="cs-CZ"/>
        </w:rPr>
        <w:t>e včelím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úlu.</w:t>
      </w:r>
    </w:p>
    <w:p w14:paraId="4747012E" w14:textId="77777777" w:rsidR="00092BC9" w:rsidRPr="005503BB" w:rsidRDefault="00092BC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9D25B6B" w14:textId="60D4D7A2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Každý proužek obsahuje 500 mg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D63FAE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2609E2CD" w14:textId="60613FF6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Použijte dva proužky na plodišt</w:t>
      </w:r>
      <w:r w:rsidR="00D63FAE">
        <w:rPr>
          <w:rFonts w:ascii="Times New Roman" w:hAnsi="Times New Roman" w:cs="Times New Roman"/>
          <w:sz w:val="22"/>
          <w:szCs w:val="22"/>
          <w:lang w:val="cs-CZ"/>
        </w:rPr>
        <w:t>ě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644E9E86" w14:textId="56FAAB9D" w:rsidR="000D3C01" w:rsidRPr="005503BB" w:rsidRDefault="000D3C01" w:rsidP="005503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Pro úl s jedním plodišt</w:t>
      </w:r>
      <w:r w:rsidR="00104578">
        <w:rPr>
          <w:rFonts w:ascii="Times New Roman" w:hAnsi="Times New Roman" w:cs="Times New Roman"/>
          <w:sz w:val="22"/>
          <w:szCs w:val="22"/>
          <w:lang w:val="cs-CZ"/>
        </w:rPr>
        <w:t>ě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m: použijte 2 proužky odpovídající 1 g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104578">
        <w:rPr>
          <w:rFonts w:ascii="Times New Roman" w:hAnsi="Times New Roman" w:cs="Times New Roman"/>
          <w:sz w:val="22"/>
          <w:szCs w:val="22"/>
          <w:lang w:val="cs-CZ"/>
        </w:rPr>
        <w:t>az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37246288" w14:textId="4F2A353C" w:rsidR="000D3C01" w:rsidRDefault="000D3C01" w:rsidP="005503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Pro úl se dvěma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plodišt</w:t>
      </w:r>
      <w:r w:rsidR="00104578">
        <w:rPr>
          <w:rFonts w:ascii="Times New Roman" w:hAnsi="Times New Roman" w:cs="Times New Roman"/>
          <w:sz w:val="22"/>
          <w:szCs w:val="22"/>
          <w:lang w:val="cs-CZ"/>
        </w:rPr>
        <w:t>ěmi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: použijte 4 proužky odpovídající 2 g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104578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014F3E47" w14:textId="77777777" w:rsidR="00092BC9" w:rsidRPr="005503BB" w:rsidRDefault="00092BC9" w:rsidP="00885E3B">
      <w:pPr>
        <w:spacing w:after="0" w:line="240" w:lineRule="auto"/>
        <w:ind w:left="720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9E4CBCF" w14:textId="5814DC85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Proužky jsou vhodné pro různé velikosti rámků díky své přizpůsobitelné délce. Proužek nestříhejte.</w:t>
      </w:r>
    </w:p>
    <w:p w14:paraId="335CB309" w14:textId="77777777" w:rsidR="00092BC9" w:rsidRPr="005503BB" w:rsidRDefault="00092BC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96B73DB" w14:textId="1F7CABD0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Oddělte dvojité proužky: jemně trhejte shora dolů</w:t>
      </w:r>
      <w:r w:rsidR="00104578">
        <w:rPr>
          <w:rFonts w:ascii="Times New Roman" w:hAnsi="Times New Roman" w:cs="Times New Roman"/>
          <w:sz w:val="22"/>
          <w:szCs w:val="22"/>
          <w:lang w:val="cs-CZ"/>
        </w:rPr>
        <w:t xml:space="preserve"> tak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, aby nedošlo k poškození závěsného systému. Zavěste proužky pomocí závěsného systému a přizpůsobte jej výšce rámku (viz obrázky).</w:t>
      </w:r>
    </w:p>
    <w:p w14:paraId="1A48601E" w14:textId="2149198A" w:rsidR="000D3C01" w:rsidRPr="005503BB" w:rsidRDefault="000D3C01" w:rsidP="00550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Pro rámky ≥ 30 cm: Ohněte </w:t>
      </w:r>
      <w:r w:rsidR="00650D8D">
        <w:rPr>
          <w:rFonts w:ascii="Times New Roman" w:hAnsi="Times New Roman" w:cs="Times New Roman"/>
          <w:sz w:val="22"/>
          <w:szCs w:val="22"/>
          <w:lang w:val="cs-CZ"/>
        </w:rPr>
        <w:t>jazýčky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závěsného systému v opačných směrech a zavěste proužky na rámky.</w:t>
      </w:r>
    </w:p>
    <w:p w14:paraId="659C2448" w14:textId="5457F402" w:rsidR="000D3C01" w:rsidRDefault="000D3C01" w:rsidP="005503B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Pro rámky </w:t>
      </w:r>
      <w:proofErr w:type="gramStart"/>
      <w:r w:rsidRPr="005503BB">
        <w:rPr>
          <w:rFonts w:ascii="Times New Roman" w:hAnsi="Times New Roman" w:cs="Times New Roman"/>
          <w:sz w:val="22"/>
          <w:szCs w:val="22"/>
          <w:lang w:val="cs-CZ"/>
        </w:rPr>
        <w:t>&lt; 30</w:t>
      </w:r>
      <w:proofErr w:type="gram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cm: Ohněte proužek nad rámkem podél přehybové linie.</w:t>
      </w:r>
    </w:p>
    <w:p w14:paraId="4D38D415" w14:textId="77777777" w:rsidR="005503BB" w:rsidRPr="005503BB" w:rsidRDefault="005503BB" w:rsidP="00885E3B">
      <w:pPr>
        <w:spacing w:after="0" w:line="240" w:lineRule="auto"/>
        <w:ind w:left="720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288F378" w14:textId="681CF826" w:rsidR="00EF49A3" w:rsidRPr="005503BB" w:rsidRDefault="00F22C06" w:rsidP="005503BB">
      <w:pPr>
        <w:spacing w:after="0" w:line="240" w:lineRule="auto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noProof/>
          <w:sz w:val="22"/>
          <w:szCs w:val="22"/>
          <w:lang w:val="cs-CZ"/>
        </w:rPr>
        <w:drawing>
          <wp:inline distT="0" distB="0" distL="0" distR="0" wp14:anchorId="3A68C3F0" wp14:editId="4BBC254E">
            <wp:extent cx="5731510" cy="1584325"/>
            <wp:effectExtent l="0" t="0" r="2540" b="0"/>
            <wp:docPr id="11318296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296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62DD7" w14:textId="77777777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228BFA4" w14:textId="182CFDED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Zavěste každý proužek mezi dva plástové rámky do plodové oblasti nebo včelího chomáče tak, aby mezi proužky byla minimální vzdálenost 2 rámků.</w:t>
      </w:r>
    </w:p>
    <w:p w14:paraId="604CB61E" w14:textId="6A7A25A7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Umístěte proužky tak, aby včely měly volný přístup k oběma stranám.</w:t>
      </w:r>
    </w:p>
    <w:p w14:paraId="6B0372EC" w14:textId="77777777" w:rsidR="00092BC9" w:rsidRPr="005503BB" w:rsidRDefault="00092BC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9F377EF" w14:textId="1AE94230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Proužky lze také zavěsit pomocí jednoho ze dvou otvorů (zvoleného podle výšky rámku) s pomocí malého hřebíčku, párátka nebo háčku.</w:t>
      </w:r>
    </w:p>
    <w:p w14:paraId="019CDDF1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C4D0044" w14:textId="31C6D138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bookmarkStart w:id="1" w:name="_Hlk235018537"/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10týd</w:t>
      </w:r>
      <w:r w:rsidR="009A720A">
        <w:rPr>
          <w:rFonts w:ascii="Times New Roman" w:hAnsi="Times New Roman" w:cs="Times New Roman"/>
          <w:sz w:val="22"/>
          <w:szCs w:val="22"/>
          <w:u w:val="single"/>
          <w:lang w:val="cs-CZ"/>
        </w:rPr>
        <w:t>enní doba léčby</w:t>
      </w:r>
    </w:p>
    <w:bookmarkEnd w:id="1"/>
    <w:p w14:paraId="010FEEAC" w14:textId="45A2E204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Standardní </w:t>
      </w:r>
      <w:r w:rsidR="009A720A">
        <w:rPr>
          <w:rFonts w:ascii="Times New Roman" w:hAnsi="Times New Roman" w:cs="Times New Roman"/>
          <w:sz w:val="22"/>
          <w:szCs w:val="22"/>
          <w:lang w:val="cs-CZ"/>
        </w:rPr>
        <w:t>doba</w:t>
      </w:r>
      <w:r w:rsidR="009A720A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léčby je 10 týdnů.</w:t>
      </w:r>
    </w:p>
    <w:p w14:paraId="5B43F847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Tato délka se doporučuje pro:</w:t>
      </w:r>
    </w:p>
    <w:p w14:paraId="599893AF" w14:textId="7BD29082" w:rsidR="000D3C01" w:rsidRPr="005503BB" w:rsidRDefault="000D3C01" w:rsidP="005503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včelstva se střední</w:t>
      </w:r>
      <w:r w:rsidR="009A720A">
        <w:rPr>
          <w:rFonts w:ascii="Times New Roman" w:hAnsi="Times New Roman" w:cs="Times New Roman"/>
          <w:sz w:val="22"/>
          <w:szCs w:val="22"/>
          <w:lang w:val="cs-CZ"/>
        </w:rPr>
        <w:t>m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až vysok</w:t>
      </w:r>
      <w:r w:rsidR="009A720A">
        <w:rPr>
          <w:rFonts w:ascii="Times New Roman" w:hAnsi="Times New Roman" w:cs="Times New Roman"/>
          <w:sz w:val="22"/>
          <w:szCs w:val="22"/>
          <w:lang w:val="cs-CZ"/>
        </w:rPr>
        <w:t>ým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9A720A">
        <w:rPr>
          <w:rFonts w:ascii="Times New Roman" w:hAnsi="Times New Roman" w:cs="Times New Roman"/>
          <w:sz w:val="22"/>
          <w:szCs w:val="22"/>
          <w:lang w:val="cs-CZ"/>
        </w:rPr>
        <w:t>množstvím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plodu na začátku léčby,</w:t>
      </w:r>
    </w:p>
    <w:p w14:paraId="4D668859" w14:textId="6093178B" w:rsidR="000D3C01" w:rsidRPr="005503BB" w:rsidRDefault="000D3C01" w:rsidP="005503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včelstva s přetrvávající přítomností plodu během léčby,</w:t>
      </w:r>
    </w:p>
    <w:p w14:paraId="7189AE1F" w14:textId="6D42F194" w:rsidR="000D3C01" w:rsidRPr="005503BB" w:rsidRDefault="000D3C01" w:rsidP="005503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včelstva používající dva plodištní nástavky,</w:t>
      </w:r>
    </w:p>
    <w:p w14:paraId="49E9DBC3" w14:textId="1FF7FBA1" w:rsidR="000D3C01" w:rsidRDefault="000D3C01" w:rsidP="005503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situace, kdy nelze spolehlivě posoudit vývoj plodu.</w:t>
      </w:r>
    </w:p>
    <w:p w14:paraId="077D1B3F" w14:textId="77777777" w:rsidR="009A720A" w:rsidRPr="005503BB" w:rsidRDefault="009A720A" w:rsidP="00885E3B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BA0B576" w14:textId="1813DB76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bookmarkStart w:id="2" w:name="_Hlk235018575"/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6týd</w:t>
      </w:r>
      <w:r w:rsidR="009A720A">
        <w:rPr>
          <w:rFonts w:ascii="Times New Roman" w:hAnsi="Times New Roman" w:cs="Times New Roman"/>
          <w:sz w:val="22"/>
          <w:szCs w:val="22"/>
          <w:u w:val="single"/>
          <w:lang w:val="cs-CZ"/>
        </w:rPr>
        <w:t>enní doba léčby</w:t>
      </w:r>
    </w:p>
    <w:bookmarkEnd w:id="2"/>
    <w:p w14:paraId="4F5E3FBD" w14:textId="2C0DE7E3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O </w:t>
      </w:r>
      <w:r w:rsidR="009A720A">
        <w:rPr>
          <w:rFonts w:ascii="Times New Roman" w:hAnsi="Times New Roman" w:cs="Times New Roman"/>
          <w:sz w:val="22"/>
          <w:szCs w:val="22"/>
          <w:lang w:val="cs-CZ"/>
        </w:rPr>
        <w:t>6týdenní době</w:t>
      </w:r>
      <w:r w:rsidR="009A720A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léčby lze uvažovat pouze tehdy, jsou-li splněny následující podmínky:</w:t>
      </w:r>
    </w:p>
    <w:p w14:paraId="6DC027A0" w14:textId="24042173" w:rsidR="000D3C01" w:rsidRPr="005503BB" w:rsidRDefault="009731A4" w:rsidP="005503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množství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0D3C01" w:rsidRPr="005503BB">
        <w:rPr>
          <w:rFonts w:ascii="Times New Roman" w:hAnsi="Times New Roman" w:cs="Times New Roman"/>
          <w:sz w:val="22"/>
          <w:szCs w:val="22"/>
          <w:lang w:val="cs-CZ"/>
        </w:rPr>
        <w:t>plodu je na začátku léčby nízk</w:t>
      </w:r>
      <w:r>
        <w:rPr>
          <w:rFonts w:ascii="Times New Roman" w:hAnsi="Times New Roman" w:cs="Times New Roman"/>
          <w:sz w:val="22"/>
          <w:szCs w:val="22"/>
          <w:lang w:val="cs-CZ"/>
        </w:rPr>
        <w:t>é</w:t>
      </w:r>
      <w:r w:rsidR="000D3C01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(přibližně jeden plodový rámek, tj. ≤ 10000 plodových buněk),</w:t>
      </w:r>
    </w:p>
    <w:p w14:paraId="7FBD0986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a</w:t>
      </w:r>
    </w:p>
    <w:p w14:paraId="1223692C" w14:textId="2C041DA0" w:rsidR="000D3C01" w:rsidRPr="005503BB" w:rsidRDefault="000D3C01" w:rsidP="005503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ve včelstvu není přítomen žádný plod po 5–6 týdnech od zahájení léčby.</w:t>
      </w:r>
    </w:p>
    <w:p w14:paraId="73866A77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Pokud není splněna některá z těchto podmínek, musí proužky zůstat na místě po celou dobu léčby 10 týdnů.</w:t>
      </w:r>
    </w:p>
    <w:p w14:paraId="06AF3AE4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lastRenderedPageBreak/>
        <w:t>Rozhodnutí o použití délky léčby 6 týdnů je založeno na posouzení vývoje včelstva a dynamiky plodu.</w:t>
      </w:r>
    </w:p>
    <w:p w14:paraId="580F2022" w14:textId="77777777" w:rsidR="00092BC9" w:rsidRDefault="00092BC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B72E06C" w14:textId="5B2A92D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Pokud jsou proužky v polovině léčby pokryty propolisem a/nebo voskem, je možné je jemně oškrábat pomocí </w:t>
      </w:r>
      <w:r w:rsidR="009731A4">
        <w:rPr>
          <w:rFonts w:ascii="Times New Roman" w:hAnsi="Times New Roman" w:cs="Times New Roman"/>
          <w:sz w:val="22"/>
          <w:szCs w:val="22"/>
          <w:lang w:val="cs-CZ"/>
        </w:rPr>
        <w:t>rozpěráku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. Poté </w:t>
      </w:r>
      <w:r w:rsidR="009731A4">
        <w:rPr>
          <w:rFonts w:ascii="Times New Roman" w:hAnsi="Times New Roman" w:cs="Times New Roman"/>
          <w:sz w:val="22"/>
          <w:szCs w:val="22"/>
          <w:lang w:val="cs-CZ"/>
        </w:rPr>
        <w:t>by měly</w:t>
      </w:r>
      <w:r w:rsidR="009731A4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být proužky vráceny do úlu a v případě potřeby přemístěny podle výše uvedených pokynů k podání (v případě změn ve včelím chomáči nebo plodové oblasti).</w:t>
      </w:r>
    </w:p>
    <w:p w14:paraId="49AECBD8" w14:textId="77777777" w:rsidR="00092BC9" w:rsidRDefault="00092BC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1184D6D" w14:textId="22755782" w:rsidR="000D3C01" w:rsidRPr="005503BB" w:rsidRDefault="00092BC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Veterinární léčivý p</w:t>
      </w:r>
      <w:r w:rsidR="000D3C01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řípravek </w:t>
      </w:r>
      <w:r>
        <w:rPr>
          <w:rFonts w:ascii="Times New Roman" w:hAnsi="Times New Roman" w:cs="Times New Roman"/>
          <w:sz w:val="22"/>
          <w:szCs w:val="22"/>
          <w:lang w:val="cs-CZ"/>
        </w:rPr>
        <w:t>by měl</w:t>
      </w:r>
      <w:r w:rsidR="000D3C01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být použit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v době</w:t>
      </w:r>
      <w:r w:rsidR="000D3C01" w:rsidRPr="005503BB">
        <w:rPr>
          <w:rFonts w:ascii="Times New Roman" w:hAnsi="Times New Roman" w:cs="Times New Roman"/>
          <w:sz w:val="22"/>
          <w:szCs w:val="22"/>
          <w:lang w:val="cs-CZ"/>
        </w:rPr>
        <w:t>, kdy jsou včely ještě aktivní, tj. před vytvořením zimního chomáče, jehož přesné načasování se může mezi klimatickými oblastmi lišit.</w:t>
      </w:r>
    </w:p>
    <w:p w14:paraId="2C5F1F4C" w14:textId="4E62EA24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Doporučená doba léčby je 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v období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, kdy 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 xml:space="preserve">nejsou přítomny </w:t>
      </w:r>
      <w:proofErr w:type="spellStart"/>
      <w:r w:rsidR="00092BC9">
        <w:rPr>
          <w:rFonts w:ascii="Times New Roman" w:hAnsi="Times New Roman" w:cs="Times New Roman"/>
          <w:sz w:val="22"/>
          <w:szCs w:val="22"/>
          <w:lang w:val="cs-CZ"/>
        </w:rPr>
        <w:t>medníky</w:t>
      </w:r>
      <w:proofErr w:type="spellEnd"/>
      <w:r w:rsidR="00092BC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po posledním medobraní (pozdní léto/podzim) a před jarní snůšk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. Pro stanovení nej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vhodnější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doby léčby se doporučuje 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sledovat míru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napadení.</w:t>
      </w:r>
    </w:p>
    <w:p w14:paraId="58407223" w14:textId="73CE72DC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Proužky odstraňte před začátkem snůšky.</w:t>
      </w:r>
    </w:p>
    <w:p w14:paraId="52195456" w14:textId="77777777" w:rsidR="00092BC9" w:rsidRPr="005503BB" w:rsidRDefault="00092BC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348D079" w14:textId="37747B08" w:rsidR="00092BC9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Potřeba a četnost opakov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ání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léčby v rámci integrované ochrany proti škůdcům 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by měla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být založen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na odborném doporučení a 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měla by</w:t>
      </w:r>
      <w:r w:rsidR="00092BC9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zohledňovat místní epidemiologickou situaci.</w:t>
      </w:r>
    </w:p>
    <w:p w14:paraId="3394F406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D924D0E" w14:textId="5B0DFCF3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3.10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Příznaky předávkování (a kde je relevantní, první pomoc a antidota)</w:t>
      </w:r>
    </w:p>
    <w:p w14:paraId="7CE62E05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0A2BF1E" w14:textId="4F8F4B41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</w:t>
      </w:r>
      <w:r w:rsidR="00092BC9">
        <w:rPr>
          <w:rFonts w:ascii="Times New Roman" w:hAnsi="Times New Roman" w:cs="Times New Roman"/>
          <w:sz w:val="22"/>
          <w:szCs w:val="22"/>
          <w:lang w:val="cs-CZ"/>
        </w:rPr>
        <w:t>o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podání dvojnásobku doporučené dávky nebyly pozorovány žádné nežádoucí účinky.</w:t>
      </w:r>
    </w:p>
    <w:p w14:paraId="4CAF6A64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E8AC21B" w14:textId="37F031A9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3.11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Zvláštní omezení pro použití a zvláštní podmínky pro použití, včetně omezení používání 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antimikrobních a antiparazitárních veterinárních léčivých přípravků, za účelem snížení 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rizika rozvoje rezistence</w:t>
      </w:r>
    </w:p>
    <w:p w14:paraId="623563B3" w14:textId="353EA2BF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EF63AB9" w14:textId="608E223E" w:rsidR="005503BB" w:rsidRDefault="00814B2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Neuplatňuje se.</w:t>
      </w:r>
    </w:p>
    <w:p w14:paraId="47C48003" w14:textId="77777777" w:rsidR="00814B29" w:rsidRPr="005503BB" w:rsidRDefault="00814B29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C456856" w14:textId="7248C2B7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3.12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Ochranné lhůty</w:t>
      </w:r>
    </w:p>
    <w:p w14:paraId="7F02752A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DC0A5FA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Med: Bez ochranných lhůt.</w:t>
      </w:r>
    </w:p>
    <w:p w14:paraId="22AC2FAE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Nepoužívat během snůšky.</w:t>
      </w:r>
    </w:p>
    <w:p w14:paraId="42ADE11B" w14:textId="6370BE14" w:rsidR="000D3C01" w:rsidRPr="00270B52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270B52">
        <w:rPr>
          <w:rFonts w:ascii="Times New Roman" w:hAnsi="Times New Roman" w:cs="Times New Roman"/>
          <w:sz w:val="22"/>
          <w:szCs w:val="22"/>
          <w:lang w:val="cs-CZ"/>
        </w:rPr>
        <w:t>Ne</w:t>
      </w:r>
      <w:r w:rsidR="00817C0E" w:rsidRPr="00270B52">
        <w:rPr>
          <w:rFonts w:ascii="Times New Roman" w:hAnsi="Times New Roman" w:cs="Times New Roman"/>
          <w:sz w:val="22"/>
          <w:szCs w:val="22"/>
          <w:lang w:val="cs-CZ"/>
        </w:rPr>
        <w:t>vytáčejte</w:t>
      </w:r>
      <w:r w:rsidRPr="00270B52">
        <w:rPr>
          <w:rFonts w:ascii="Times New Roman" w:hAnsi="Times New Roman" w:cs="Times New Roman"/>
          <w:sz w:val="22"/>
          <w:szCs w:val="22"/>
          <w:lang w:val="cs-CZ"/>
        </w:rPr>
        <w:t xml:space="preserve"> med z plod</w:t>
      </w:r>
      <w:r w:rsidR="006A3980" w:rsidRPr="00270B52">
        <w:rPr>
          <w:rFonts w:ascii="Times New Roman" w:hAnsi="Times New Roman" w:cs="Times New Roman"/>
          <w:sz w:val="22"/>
          <w:szCs w:val="22"/>
          <w:lang w:val="cs-CZ"/>
        </w:rPr>
        <w:t>išt</w:t>
      </w:r>
      <w:r w:rsidR="00270B52" w:rsidRPr="00270B52">
        <w:rPr>
          <w:rFonts w:ascii="Times New Roman" w:hAnsi="Times New Roman" w:cs="Times New Roman"/>
          <w:sz w:val="22"/>
          <w:szCs w:val="22"/>
          <w:lang w:val="cs-CZ"/>
        </w:rPr>
        <w:t>ě</w:t>
      </w:r>
      <w:r w:rsidRPr="00270B52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23A199CF" w14:textId="55B3BD6E" w:rsidR="000D3C01" w:rsidRPr="00270B52" w:rsidRDefault="00817C0E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bookmarkStart w:id="3" w:name="_Hlk236320649"/>
      <w:r w:rsidRPr="00270B52">
        <w:rPr>
          <w:rFonts w:ascii="Times New Roman" w:hAnsi="Times New Roman" w:cs="Times New Roman"/>
          <w:sz w:val="22"/>
          <w:szCs w:val="22"/>
          <w:lang w:val="cs-CZ"/>
        </w:rPr>
        <w:t>Po dobu</w:t>
      </w:r>
      <w:r w:rsidR="006A3980" w:rsidRPr="00270B52">
        <w:rPr>
          <w:rFonts w:ascii="Times New Roman" w:hAnsi="Times New Roman" w:cs="Times New Roman"/>
          <w:sz w:val="22"/>
          <w:szCs w:val="22"/>
          <w:lang w:val="cs-CZ"/>
        </w:rPr>
        <w:t xml:space="preserve">, kdy </w:t>
      </w:r>
      <w:r w:rsidR="00877A65">
        <w:rPr>
          <w:rFonts w:ascii="Times New Roman" w:hAnsi="Times New Roman" w:cs="Times New Roman"/>
          <w:sz w:val="22"/>
          <w:szCs w:val="22"/>
          <w:lang w:val="cs-CZ"/>
        </w:rPr>
        <w:t>probíhá léčba</w:t>
      </w:r>
      <w:r w:rsidR="006A3980" w:rsidRPr="00270B52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Pr="00270B52">
        <w:rPr>
          <w:rFonts w:ascii="Times New Roman" w:hAnsi="Times New Roman" w:cs="Times New Roman"/>
          <w:sz w:val="22"/>
          <w:szCs w:val="22"/>
          <w:lang w:val="cs-CZ"/>
        </w:rPr>
        <w:t xml:space="preserve">neodebírejte </w:t>
      </w:r>
      <w:bookmarkEnd w:id="3"/>
      <w:r w:rsidR="000D3C01" w:rsidRPr="00270B52">
        <w:rPr>
          <w:rFonts w:ascii="Times New Roman" w:hAnsi="Times New Roman" w:cs="Times New Roman"/>
          <w:sz w:val="22"/>
          <w:szCs w:val="22"/>
          <w:lang w:val="cs-CZ"/>
        </w:rPr>
        <w:t>med určený k lidské spotřebě</w:t>
      </w:r>
      <w:r w:rsidRPr="00270B52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09965B3E" w14:textId="02D70FD3" w:rsidR="000D3C01" w:rsidRPr="00270B52" w:rsidRDefault="006A3980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bookmarkStart w:id="4" w:name="_Hlk236320678"/>
      <w:r w:rsidRPr="00885E3B">
        <w:rPr>
          <w:rFonts w:ascii="Times New Roman" w:hAnsi="Times New Roman" w:cs="Times New Roman"/>
          <w:sz w:val="22"/>
          <w:szCs w:val="22"/>
          <w:lang w:val="cs-CZ"/>
        </w:rPr>
        <w:t>Dílo v plodišti obměňujte nejméně jednou za tři roky</w:t>
      </w:r>
      <w:bookmarkEnd w:id="4"/>
      <w:r w:rsidR="00817C0E" w:rsidRPr="00270B52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0D3C01" w:rsidRPr="00270B52">
        <w:rPr>
          <w:rFonts w:ascii="Times New Roman" w:hAnsi="Times New Roman" w:cs="Times New Roman"/>
          <w:sz w:val="22"/>
          <w:szCs w:val="22"/>
          <w:lang w:val="cs-CZ"/>
        </w:rPr>
        <w:t>novými mezistěnami</w:t>
      </w:r>
      <w:r w:rsidRPr="00270B52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6837001C" w14:textId="05B4203A" w:rsidR="000D3C01" w:rsidRPr="00270B52" w:rsidRDefault="006A3980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bookmarkStart w:id="5" w:name="_Hlk236320710"/>
      <w:proofErr w:type="spellStart"/>
      <w:r w:rsidRPr="00885E3B">
        <w:rPr>
          <w:rFonts w:ascii="Times New Roman" w:hAnsi="Times New Roman" w:cs="Times New Roman"/>
          <w:sz w:val="22"/>
          <w:szCs w:val="22"/>
          <w:lang w:val="cs-CZ"/>
        </w:rPr>
        <w:t>Plodištní</w:t>
      </w:r>
      <w:proofErr w:type="spellEnd"/>
      <w:r w:rsidRPr="00885E3B">
        <w:rPr>
          <w:rFonts w:ascii="Times New Roman" w:hAnsi="Times New Roman" w:cs="Times New Roman"/>
          <w:sz w:val="22"/>
          <w:szCs w:val="22"/>
          <w:lang w:val="cs-CZ"/>
        </w:rPr>
        <w:t xml:space="preserve"> rámky </w:t>
      </w:r>
      <w:bookmarkEnd w:id="5"/>
      <w:r w:rsidRPr="00885E3B">
        <w:rPr>
          <w:rFonts w:ascii="Times New Roman" w:hAnsi="Times New Roman" w:cs="Times New Roman"/>
          <w:sz w:val="22"/>
          <w:szCs w:val="22"/>
          <w:lang w:val="cs-CZ"/>
        </w:rPr>
        <w:t>n</w:t>
      </w:r>
      <w:r w:rsidR="000D3C01" w:rsidRPr="00270B52">
        <w:rPr>
          <w:rFonts w:ascii="Times New Roman" w:hAnsi="Times New Roman" w:cs="Times New Roman"/>
          <w:sz w:val="22"/>
          <w:szCs w:val="22"/>
          <w:lang w:val="cs-CZ"/>
        </w:rPr>
        <w:t xml:space="preserve">epoužívejte </w:t>
      </w:r>
      <w:r w:rsidRPr="00270B52">
        <w:rPr>
          <w:rFonts w:ascii="Times New Roman" w:hAnsi="Times New Roman" w:cs="Times New Roman"/>
          <w:sz w:val="22"/>
          <w:szCs w:val="22"/>
          <w:lang w:val="cs-CZ"/>
        </w:rPr>
        <w:t xml:space="preserve">znovu </w:t>
      </w:r>
      <w:r w:rsidR="000D3C01" w:rsidRPr="00270B52">
        <w:rPr>
          <w:rFonts w:ascii="Times New Roman" w:hAnsi="Times New Roman" w:cs="Times New Roman"/>
          <w:sz w:val="22"/>
          <w:szCs w:val="22"/>
          <w:lang w:val="cs-CZ"/>
        </w:rPr>
        <w:t>jako rámky</w:t>
      </w:r>
      <w:r w:rsidRPr="00270B52">
        <w:rPr>
          <w:rFonts w:ascii="Times New Roman" w:hAnsi="Times New Roman" w:cs="Times New Roman"/>
          <w:sz w:val="22"/>
          <w:szCs w:val="22"/>
          <w:lang w:val="cs-CZ"/>
        </w:rPr>
        <w:t xml:space="preserve"> medníkové</w:t>
      </w:r>
      <w:r w:rsidR="000D3C01" w:rsidRPr="00270B52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FB77D77" w14:textId="5D55032A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167404C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10C20EB" w14:textId="25280824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4.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FARMAKOLOGICKÉ INFORMACE</w:t>
      </w:r>
    </w:p>
    <w:p w14:paraId="3A4F5B61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12299B9" w14:textId="77392498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4.1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proofErr w:type="spellStart"/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ATCvet</w:t>
      </w:r>
      <w:proofErr w:type="spellEnd"/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 kód: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QP53AD01</w:t>
      </w:r>
    </w:p>
    <w:p w14:paraId="61433F56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770383C" w14:textId="39989475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4.2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Farmakodynamika</w:t>
      </w:r>
    </w:p>
    <w:p w14:paraId="49998AC5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72A0A18" w14:textId="6CDB5E34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Amitraz je formamidinový akaricid, který působí jako agonista na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o</w:t>
      </w:r>
      <w:r w:rsidR="00814B29">
        <w:rPr>
          <w:rFonts w:ascii="Times New Roman" w:hAnsi="Times New Roman" w:cs="Times New Roman"/>
          <w:sz w:val="22"/>
          <w:szCs w:val="22"/>
          <w:lang w:val="cs-CZ"/>
        </w:rPr>
        <w:t>k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topaminových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receptorech a způsobuje nadměrnou stimulaci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o</w:t>
      </w:r>
      <w:r w:rsidR="00814B29">
        <w:rPr>
          <w:rFonts w:ascii="Times New Roman" w:hAnsi="Times New Roman" w:cs="Times New Roman"/>
          <w:sz w:val="22"/>
          <w:szCs w:val="22"/>
          <w:lang w:val="cs-CZ"/>
        </w:rPr>
        <w:t>k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topaminergních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synapsí u roztočů, což vede k třesu, křečím, odpadnutí a úhynu parazita.</w:t>
      </w:r>
    </w:p>
    <w:p w14:paraId="2F1D044E" w14:textId="6BDB7FA6" w:rsidR="005503BB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Rezistence k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814B29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u </w:t>
      </w:r>
      <w:proofErr w:type="spellStart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>Varroa</w:t>
      </w:r>
      <w:proofErr w:type="spellEnd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proofErr w:type="spellStart"/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>destructor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je spojena s mutacemi v </w:t>
      </w:r>
      <w:proofErr w:type="spellStart"/>
      <w:r w:rsidR="00814B29" w:rsidRPr="005503BB">
        <w:rPr>
          <w:rFonts w:ascii="Times New Roman" w:hAnsi="Times New Roman" w:cs="Times New Roman"/>
          <w:sz w:val="22"/>
          <w:szCs w:val="22"/>
          <w:lang w:val="cs-CZ"/>
        </w:rPr>
        <w:t>o</w:t>
      </w:r>
      <w:r w:rsidR="00814B29">
        <w:rPr>
          <w:rFonts w:ascii="Times New Roman" w:hAnsi="Times New Roman" w:cs="Times New Roman"/>
          <w:sz w:val="22"/>
          <w:szCs w:val="22"/>
          <w:lang w:val="cs-CZ"/>
        </w:rPr>
        <w:t>k</w:t>
      </w:r>
      <w:r w:rsidR="00814B29" w:rsidRPr="005503BB">
        <w:rPr>
          <w:rFonts w:ascii="Times New Roman" w:hAnsi="Times New Roman" w:cs="Times New Roman"/>
          <w:sz w:val="22"/>
          <w:szCs w:val="22"/>
          <w:lang w:val="cs-CZ"/>
        </w:rPr>
        <w:t>topaminovém</w:t>
      </w:r>
      <w:proofErr w:type="spellEnd"/>
      <w:r w:rsidR="00814B29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receptoru</w:t>
      </w:r>
      <w:r w:rsidR="00814B29">
        <w:rPr>
          <w:rFonts w:ascii="Times New Roman" w:hAnsi="Times New Roman" w:cs="Times New Roman"/>
          <w:sz w:val="22"/>
          <w:szCs w:val="22"/>
          <w:lang w:val="cs-CZ"/>
        </w:rPr>
        <w:t xml:space="preserve"> podobném</w:t>
      </w:r>
      <w:r w:rsidR="00814B29"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β-adrenergním</w:t>
      </w:r>
      <w:r w:rsidR="00814B29">
        <w:rPr>
          <w:rFonts w:ascii="Times New Roman" w:hAnsi="Times New Roman" w:cs="Times New Roman"/>
          <w:sz w:val="22"/>
          <w:szCs w:val="22"/>
          <w:lang w:val="cs-CZ"/>
        </w:rPr>
        <w:t>u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814B29">
        <w:rPr>
          <w:rFonts w:ascii="Times New Roman" w:hAnsi="Times New Roman" w:cs="Times New Roman"/>
          <w:sz w:val="22"/>
          <w:szCs w:val="22"/>
          <w:lang w:val="cs-CZ"/>
        </w:rPr>
        <w:t>receptoru.</w:t>
      </w:r>
    </w:p>
    <w:p w14:paraId="2A2B5FE0" w14:textId="77777777" w:rsidR="00814B29" w:rsidRDefault="00814B29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74EF0FB4" w14:textId="71858424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4.3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Farmakokinetika</w:t>
      </w:r>
    </w:p>
    <w:p w14:paraId="4AAFECD3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23A6C12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Amitraz je uvolňován na povrch proužků a působí kontaktem se včelami.</w:t>
      </w:r>
    </w:p>
    <w:p w14:paraId="6650B5CB" w14:textId="1011F3E2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Ethylenvinylacetát použitý v tomto veterinárním léčivém přípravku zvyšuje rychlost a množství migrace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AA4AEE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z proužku na jeho povrch na počátku léčby. To bylo prokázáno při experimentálním </w:t>
      </w:r>
      <w:r w:rsidRPr="005503BB">
        <w:rPr>
          <w:rFonts w:ascii="Times New Roman" w:hAnsi="Times New Roman" w:cs="Times New Roman"/>
          <w:i/>
          <w:iCs/>
          <w:sz w:val="22"/>
          <w:szCs w:val="22"/>
          <w:lang w:val="cs-CZ"/>
        </w:rPr>
        <w:t>in vitro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testu porovnávajícím uvolňování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AA4AEE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během 96 hodin mezi dvěma různými formulacemi proužků s amitrazem.</w:t>
      </w:r>
    </w:p>
    <w:p w14:paraId="415B22FC" w14:textId="1BC5D283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lastRenderedPageBreak/>
        <w:t xml:space="preserve">Farmakokinetika </w:t>
      </w:r>
      <w:proofErr w:type="spellStart"/>
      <w:r w:rsidRPr="005503BB">
        <w:rPr>
          <w:rFonts w:ascii="Times New Roman" w:hAnsi="Times New Roman" w:cs="Times New Roman"/>
          <w:sz w:val="22"/>
          <w:szCs w:val="22"/>
          <w:lang w:val="cs-CZ"/>
        </w:rPr>
        <w:t>amitr</w:t>
      </w:r>
      <w:r w:rsidR="00AA4AEE">
        <w:rPr>
          <w:rFonts w:ascii="Times New Roman" w:hAnsi="Times New Roman" w:cs="Times New Roman"/>
          <w:sz w:val="22"/>
          <w:szCs w:val="22"/>
          <w:lang w:val="cs-CZ"/>
        </w:rPr>
        <w:t>a</w:t>
      </w:r>
      <w:r w:rsidRPr="005503BB">
        <w:rPr>
          <w:rFonts w:ascii="Times New Roman" w:hAnsi="Times New Roman" w:cs="Times New Roman"/>
          <w:sz w:val="22"/>
          <w:szCs w:val="22"/>
          <w:lang w:val="cs-CZ"/>
        </w:rPr>
        <w:t>zu</w:t>
      </w:r>
      <w:proofErr w:type="spellEnd"/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 u včel není známa.</w:t>
      </w:r>
    </w:p>
    <w:p w14:paraId="7DBA1011" w14:textId="66075E2D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3B4C3E2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059E926" w14:textId="65C34EBF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5.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FARMACEUTICKÉ ÚDAJE</w:t>
      </w:r>
    </w:p>
    <w:p w14:paraId="01DEC041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4523B35" w14:textId="6BE7E046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5.1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Hlavní inkompatibility</w:t>
      </w:r>
    </w:p>
    <w:p w14:paraId="7528D3EE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1B64962" w14:textId="3A573B56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Neuplatňuje se.</w:t>
      </w:r>
    </w:p>
    <w:p w14:paraId="3F8C1F0B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929E216" w14:textId="73D09977" w:rsidR="000D3C01" w:rsidRDefault="000D3C01" w:rsidP="00E412D0">
      <w:pPr>
        <w:keepNext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5.2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Doba použitelnosti</w:t>
      </w:r>
    </w:p>
    <w:p w14:paraId="103DB164" w14:textId="77777777" w:rsidR="005503BB" w:rsidRPr="005503BB" w:rsidRDefault="005503BB" w:rsidP="00E412D0">
      <w:pPr>
        <w:keepNext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76D32348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Doba použitelnosti veterinárního léčivého přípravku v neporušeném obalu: 2 roky</w:t>
      </w:r>
    </w:p>
    <w:p w14:paraId="1CFD7154" w14:textId="29CAFCCE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Doba použitelnosti po prvním otevření vnitřního obalu: 1 měsíc.</w:t>
      </w:r>
    </w:p>
    <w:p w14:paraId="6B513C81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1F153D8" w14:textId="1D3C3236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5.3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Zvláštní opatření pro uchovávání</w:t>
      </w:r>
    </w:p>
    <w:p w14:paraId="426F1BB3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22A6560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Uchovávejte v původním obalu, aby byl chráněn před světlem.</w:t>
      </w:r>
    </w:p>
    <w:p w14:paraId="0F8000E6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Uchovávejte obal dobře uzavřený.</w:t>
      </w:r>
    </w:p>
    <w:p w14:paraId="3CAF360C" w14:textId="3B8674C0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Tento veterinární léčivý přípravek nevyžaduje žádné zvláštní teplotní podmínky uchovávání.</w:t>
      </w:r>
    </w:p>
    <w:p w14:paraId="3039B19C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8B93092" w14:textId="3EBBDF8D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5.4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Druh a složení vnitřního obalu</w:t>
      </w:r>
    </w:p>
    <w:p w14:paraId="573B53AC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3890C15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Tepelně uzavřený vícevrstvý sáček ze dvou fólií: PE/PA/Alu/PET a PE/Alu/oPA.</w:t>
      </w:r>
    </w:p>
    <w:p w14:paraId="1BA16091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u w:val="single"/>
          <w:lang w:val="cs-CZ"/>
        </w:rPr>
        <w:t>Velikosti balení:</w:t>
      </w:r>
    </w:p>
    <w:p w14:paraId="19025379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4 proužky</w:t>
      </w:r>
    </w:p>
    <w:p w14:paraId="094916A9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10 proužků</w:t>
      </w:r>
    </w:p>
    <w:p w14:paraId="53F712BB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12 proužků</w:t>
      </w:r>
    </w:p>
    <w:p w14:paraId="489678C2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60 proužků</w:t>
      </w:r>
    </w:p>
    <w:p w14:paraId="4FA388BC" w14:textId="1A05D4E3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Na trhu nemusí být všechny velikosti balení.</w:t>
      </w:r>
    </w:p>
    <w:p w14:paraId="6CC4D56A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FC18177" w14:textId="51744161" w:rsidR="000D3C01" w:rsidRDefault="000D3C01" w:rsidP="00E412D0">
      <w:pPr>
        <w:keepNext/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5.5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Zvláštní opatření pro likvidaci nepoužitých veterinárních léčivých přípravků nebo 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odpadů, které pochází z těchto přípravků</w:t>
      </w:r>
    </w:p>
    <w:p w14:paraId="5E60AD12" w14:textId="77777777" w:rsidR="005503BB" w:rsidRPr="005503BB" w:rsidRDefault="005503BB" w:rsidP="00E412D0">
      <w:pPr>
        <w:keepNext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D90A505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Léčivé přípravky se nesmí likvidovat prostřednictvím odpadní vody či domovního odpadu.</w:t>
      </w:r>
    </w:p>
    <w:p w14:paraId="41179525" w14:textId="77777777" w:rsidR="000D3C01" w:rsidRPr="005503BB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Tento veterinární léčivý přípravek nesmí kontaminovat vodní toky, protože amitraz může být nebezpečný pro ryby a další vodní organismy.</w:t>
      </w:r>
    </w:p>
    <w:p w14:paraId="40C18E99" w14:textId="3DDC73FD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přípravek.</w:t>
      </w:r>
    </w:p>
    <w:p w14:paraId="4D5A92B1" w14:textId="26BA6BB7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8C31608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C885B79" w14:textId="4F2EEBF3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6.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JMÉNO DRŽITELE ROZHODNUTÍ O REGISTRACI</w:t>
      </w:r>
    </w:p>
    <w:p w14:paraId="2BAC0290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A3AD41C" w14:textId="797AE6FD" w:rsidR="00057E5D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2514D3">
        <w:rPr>
          <w:rFonts w:ascii="Times New Roman" w:hAnsi="Times New Roman" w:cs="Times New Roman"/>
          <w:sz w:val="22"/>
          <w:szCs w:val="22"/>
          <w:lang w:val="cs-CZ"/>
        </w:rPr>
        <w:t>VETO-PHARM</w:t>
      </w:r>
      <w:r w:rsidR="00057E5D" w:rsidRPr="002514D3">
        <w:rPr>
          <w:rFonts w:ascii="Times New Roman" w:hAnsi="Times New Roman" w:cs="Times New Roman"/>
          <w:sz w:val="22"/>
          <w:szCs w:val="22"/>
          <w:lang w:val="cs-CZ"/>
        </w:rPr>
        <w:t xml:space="preserve">A </w:t>
      </w:r>
    </w:p>
    <w:p w14:paraId="7AFC714A" w14:textId="77777777" w:rsidR="00885E3B" w:rsidRPr="002514D3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C453936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64BE183" w14:textId="71EB75FB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7.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REGISTRAČNÍ ČÍSLO(A)</w:t>
      </w:r>
    </w:p>
    <w:p w14:paraId="4DD29782" w14:textId="41AD9EBC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CAF5ECD" w14:textId="41932DFA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96/043/</w:t>
      </w:r>
      <w:proofErr w:type="gramStart"/>
      <w:r>
        <w:rPr>
          <w:rFonts w:ascii="Times New Roman" w:hAnsi="Times New Roman" w:cs="Times New Roman"/>
          <w:sz w:val="22"/>
          <w:szCs w:val="22"/>
          <w:lang w:val="cs-CZ"/>
        </w:rPr>
        <w:t>26-C</w:t>
      </w:r>
      <w:proofErr w:type="gramEnd"/>
    </w:p>
    <w:p w14:paraId="4657A0AB" w14:textId="77777777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10039AD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8174983" w14:textId="0E7A76D7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8.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DATUM PRVNÍ REGISTRACE</w:t>
      </w:r>
    </w:p>
    <w:p w14:paraId="2F765391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06C0825" w14:textId="680944DC" w:rsidR="000D3C01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11. 8. 2026</w:t>
      </w:r>
    </w:p>
    <w:p w14:paraId="229BDB4C" w14:textId="5038A7F5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890486F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B816050" w14:textId="7883D4D0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9.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DATUM POSLEDNÍ AKTUALIZACE SOUHRNU ÚDAJŮ O PŘÍPRAVKU</w:t>
      </w:r>
    </w:p>
    <w:p w14:paraId="4F615A28" w14:textId="77777777" w:rsid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679F7F19" w14:textId="2ABB9996" w:rsidR="005503BB" w:rsidRDefault="00AA4AEE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0</w:t>
      </w:r>
      <w:r w:rsidR="00885E3B">
        <w:rPr>
          <w:rFonts w:ascii="Times New Roman" w:hAnsi="Times New Roman" w:cs="Times New Roman"/>
          <w:sz w:val="22"/>
          <w:szCs w:val="22"/>
          <w:lang w:val="cs-CZ"/>
        </w:rPr>
        <w:t>8</w:t>
      </w:r>
      <w:r>
        <w:rPr>
          <w:rFonts w:ascii="Times New Roman" w:hAnsi="Times New Roman" w:cs="Times New Roman"/>
          <w:sz w:val="22"/>
          <w:szCs w:val="22"/>
          <w:lang w:val="cs-CZ"/>
        </w:rPr>
        <w:t>/2026</w:t>
      </w:r>
    </w:p>
    <w:p w14:paraId="79FFE4AF" w14:textId="77777777" w:rsidR="00885E3B" w:rsidRDefault="00885E3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EE21D5C" w14:textId="77777777" w:rsidR="00AA4AEE" w:rsidRPr="005503BB" w:rsidRDefault="00AA4AEE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1D58B3FB" w14:textId="260AD60F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10.</w:t>
      </w:r>
      <w:r w:rsidR="00E412D0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5503BB">
        <w:rPr>
          <w:rFonts w:ascii="Times New Roman" w:hAnsi="Times New Roman" w:cs="Times New Roman"/>
          <w:b/>
          <w:bCs/>
          <w:sz w:val="22"/>
          <w:szCs w:val="22"/>
          <w:lang w:val="cs-CZ"/>
        </w:rPr>
        <w:t>KLASIFIKACE VETERINÁRNÍCH LÉČIVÝCH PŘÍPRAVKŮ</w:t>
      </w:r>
    </w:p>
    <w:p w14:paraId="46B66808" w14:textId="77777777" w:rsidR="005503BB" w:rsidRPr="005503BB" w:rsidRDefault="005503BB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0C239183" w14:textId="538D2119" w:rsidR="000D3C01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 xml:space="preserve">Veterinární léčivý přípravek je vydáván pouze na předpis. </w:t>
      </w:r>
    </w:p>
    <w:p w14:paraId="683B8B47" w14:textId="77777777" w:rsidR="00AA4AEE" w:rsidRPr="005503BB" w:rsidRDefault="00AA4AEE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B920E5A" w14:textId="7651C2B2" w:rsidR="00884A2C" w:rsidRDefault="000D3C01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5503BB">
        <w:rPr>
          <w:rFonts w:ascii="Times New Roman" w:hAnsi="Times New Roman" w:cs="Times New Roman"/>
          <w:sz w:val="22"/>
          <w:szCs w:val="22"/>
          <w:lang w:val="cs-CZ"/>
        </w:rPr>
        <w:t>Podrobné informace o tomto veterinárním léčivém přípravku jsou k dispozici v databázi přípravků Unie (</w:t>
      </w:r>
      <w:hyperlink r:id="rId12" w:history="1">
        <w:r w:rsidRPr="005503BB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https://medicines.health.europa.eu/veterinary</w:t>
        </w:r>
      </w:hyperlink>
      <w:r w:rsidRPr="005503BB">
        <w:rPr>
          <w:rFonts w:ascii="Times New Roman" w:hAnsi="Times New Roman" w:cs="Times New Roman"/>
          <w:sz w:val="22"/>
          <w:szCs w:val="22"/>
          <w:lang w:val="cs-CZ"/>
        </w:rPr>
        <w:t>).</w:t>
      </w:r>
    </w:p>
    <w:p w14:paraId="39A70C6B" w14:textId="5894321F" w:rsidR="00AA4AEE" w:rsidRDefault="00AA4AEE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4E1AAA24" w14:textId="77777777" w:rsidR="00AA4AEE" w:rsidRPr="00885E3B" w:rsidRDefault="00AA4AEE" w:rsidP="00885E3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bookmarkStart w:id="6" w:name="_Hlk235018839"/>
      <w:bookmarkStart w:id="7" w:name="_Hlk148432335"/>
      <w:proofErr w:type="spellStart"/>
      <w:r w:rsidRPr="00885E3B">
        <w:rPr>
          <w:rFonts w:ascii="Times New Roman" w:eastAsia="Times New Roman" w:hAnsi="Times New Roman" w:cs="Times New Roman"/>
          <w:sz w:val="22"/>
        </w:rPr>
        <w:t>Podrobné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informace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o 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tomto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veterinárním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léčivém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přípravku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naleznete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také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v 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národní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885E3B">
        <w:rPr>
          <w:rFonts w:ascii="Times New Roman" w:eastAsia="Times New Roman" w:hAnsi="Times New Roman" w:cs="Times New Roman"/>
          <w:sz w:val="22"/>
        </w:rPr>
        <w:t>databázi</w:t>
      </w:r>
      <w:proofErr w:type="spellEnd"/>
      <w:r w:rsidRPr="00885E3B">
        <w:rPr>
          <w:rFonts w:ascii="Times New Roman" w:eastAsia="Times New Roman" w:hAnsi="Times New Roman" w:cs="Times New Roman"/>
          <w:sz w:val="22"/>
        </w:rPr>
        <w:t xml:space="preserve"> (</w:t>
      </w:r>
      <w:hyperlink r:id="rId13" w:history="1">
        <w:r w:rsidRPr="00885E3B">
          <w:rPr>
            <w:rStyle w:val="Hypertextovodkaz"/>
            <w:rFonts w:ascii="Times New Roman" w:eastAsia="Times New Roman" w:hAnsi="Times New Roman" w:cs="Times New Roman"/>
            <w:sz w:val="22"/>
          </w:rPr>
          <w:t>https://www.uskvbl.cz</w:t>
        </w:r>
      </w:hyperlink>
      <w:r w:rsidRPr="00885E3B">
        <w:rPr>
          <w:rFonts w:ascii="Times New Roman" w:eastAsia="Times New Roman" w:hAnsi="Times New Roman" w:cs="Times New Roman"/>
          <w:sz w:val="22"/>
        </w:rPr>
        <w:t>).</w:t>
      </w:r>
      <w:bookmarkEnd w:id="6"/>
    </w:p>
    <w:bookmarkEnd w:id="7"/>
    <w:p w14:paraId="4853B384" w14:textId="77777777" w:rsidR="00AA4AEE" w:rsidRPr="005503BB" w:rsidRDefault="00AA4AEE" w:rsidP="005503BB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sectPr w:rsidR="00AA4AEE" w:rsidRPr="005503BB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45F2F" w14:textId="77777777" w:rsidR="00ED0D83" w:rsidRDefault="00ED0D83" w:rsidP="00D660F5">
      <w:pPr>
        <w:spacing w:after="0" w:line="240" w:lineRule="auto"/>
      </w:pPr>
      <w:r>
        <w:separator/>
      </w:r>
    </w:p>
  </w:endnote>
  <w:endnote w:type="continuationSeparator" w:id="0">
    <w:p w14:paraId="74FA7200" w14:textId="77777777" w:rsidR="00ED0D83" w:rsidRDefault="00ED0D83" w:rsidP="00D6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6300B" w14:textId="475F5B4F" w:rsidR="00D660F5" w:rsidRDefault="00D660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3EBCEB" wp14:editId="41C33DD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275" cy="370205"/>
              <wp:effectExtent l="0" t="0" r="0" b="0"/>
              <wp:wrapNone/>
              <wp:docPr id="773452329" name="Zone de texte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2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F1B8C" w14:textId="79809156" w:rsidR="00D660F5" w:rsidRPr="00D660F5" w:rsidRDefault="00D660F5" w:rsidP="00D660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0F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EBCE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onfidential" style="position:absolute;margin-left:22.05pt;margin-top:0;width:73.25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" filled="f" stroked="f">
              <v:textbox style="mso-fit-shape-to-text:t" inset="0,0,20pt,15pt">
                <w:txbxContent>
                  <w:p w14:paraId="186F1B8C" w14:textId="79809156" w:rsidR="00D660F5" w:rsidRPr="00D660F5" w:rsidRDefault="00D660F5" w:rsidP="00D660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0F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54BAF" w14:textId="7AE79CD5" w:rsidR="00D660F5" w:rsidRDefault="00D660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27893B0" wp14:editId="4CDF2D81">
              <wp:simplePos x="914400" y="100584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275" cy="370205"/>
              <wp:effectExtent l="0" t="0" r="0" b="0"/>
              <wp:wrapNone/>
              <wp:docPr id="785489090" name="Zone de texte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2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9B8DB" w14:textId="7932D99E" w:rsidR="00D660F5" w:rsidRPr="00D660F5" w:rsidRDefault="00D660F5" w:rsidP="00D660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7893B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Confidential" style="position:absolute;margin-left:22.05pt;margin-top:0;width:73.25pt;height:29.1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" filled="f" stroked="f">
              <v:textbox style="mso-fit-shape-to-text:t" inset="0,0,20pt,15pt">
                <w:txbxContent>
                  <w:p w14:paraId="6789B8DB" w14:textId="7932D99E" w:rsidR="00D660F5" w:rsidRPr="00D660F5" w:rsidRDefault="00D660F5" w:rsidP="00D660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3564F" w14:textId="2E4A0A09" w:rsidR="00D660F5" w:rsidRDefault="00D660F5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96FD75B" wp14:editId="4FDA35E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30275" cy="370205"/>
              <wp:effectExtent l="0" t="0" r="0" b="0"/>
              <wp:wrapNone/>
              <wp:docPr id="685918081" name="Zone de texte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02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FAB3C" w14:textId="4BB8E2A1" w:rsidR="00D660F5" w:rsidRPr="00D660F5" w:rsidRDefault="00D660F5" w:rsidP="00D660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60F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FD75B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onfidential" style="position:absolute;margin-left:22.05pt;margin-top:0;width:73.25pt;height:29.1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" filled="f" stroked="f">
              <v:textbox style="mso-fit-shape-to-text:t" inset="0,0,20pt,15pt">
                <w:txbxContent>
                  <w:p w14:paraId="1CDFAB3C" w14:textId="4BB8E2A1" w:rsidR="00D660F5" w:rsidRPr="00D660F5" w:rsidRDefault="00D660F5" w:rsidP="00D660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660F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E06E9" w14:textId="77777777" w:rsidR="00ED0D83" w:rsidRDefault="00ED0D83" w:rsidP="00D660F5">
      <w:pPr>
        <w:spacing w:after="0" w:line="240" w:lineRule="auto"/>
      </w:pPr>
      <w:r>
        <w:separator/>
      </w:r>
    </w:p>
  </w:footnote>
  <w:footnote w:type="continuationSeparator" w:id="0">
    <w:p w14:paraId="4D5C954E" w14:textId="77777777" w:rsidR="00ED0D83" w:rsidRDefault="00ED0D83" w:rsidP="00D6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DA585" w14:textId="3ECEFA99" w:rsidR="00D65E99" w:rsidRDefault="00D65E99">
    <w:pPr>
      <w:pStyle w:val="Zhlav"/>
    </w:pPr>
    <w:r w:rsidRPr="00D65E99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619"/>
    <w:multiLevelType w:val="multilevel"/>
    <w:tmpl w:val="0332E75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50B3E"/>
    <w:multiLevelType w:val="multilevel"/>
    <w:tmpl w:val="D166F2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F4186"/>
    <w:multiLevelType w:val="multilevel"/>
    <w:tmpl w:val="8B1411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8206C2"/>
    <w:multiLevelType w:val="multilevel"/>
    <w:tmpl w:val="D166F2D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72874"/>
    <w:multiLevelType w:val="multilevel"/>
    <w:tmpl w:val="8B1411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1414D"/>
    <w:multiLevelType w:val="multilevel"/>
    <w:tmpl w:val="D5CE01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02EC9"/>
    <w:multiLevelType w:val="hybridMultilevel"/>
    <w:tmpl w:val="025CCB80"/>
    <w:lvl w:ilvl="0" w:tplc="0E2AD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D387C"/>
    <w:multiLevelType w:val="hybridMultilevel"/>
    <w:tmpl w:val="48F2CC0A"/>
    <w:lvl w:ilvl="0" w:tplc="0E2AD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01"/>
    <w:rsid w:val="00012AE8"/>
    <w:rsid w:val="000269B5"/>
    <w:rsid w:val="00032261"/>
    <w:rsid w:val="00057E5D"/>
    <w:rsid w:val="00092BC9"/>
    <w:rsid w:val="000A63CD"/>
    <w:rsid w:val="000D3C01"/>
    <w:rsid w:val="00104578"/>
    <w:rsid w:val="001243B4"/>
    <w:rsid w:val="00180D28"/>
    <w:rsid w:val="00187663"/>
    <w:rsid w:val="00190CD4"/>
    <w:rsid w:val="001D132C"/>
    <w:rsid w:val="00207C35"/>
    <w:rsid w:val="00232FF6"/>
    <w:rsid w:val="0024113B"/>
    <w:rsid w:val="002514D3"/>
    <w:rsid w:val="00270B52"/>
    <w:rsid w:val="0029209B"/>
    <w:rsid w:val="002F5F88"/>
    <w:rsid w:val="002F7F19"/>
    <w:rsid w:val="00303E00"/>
    <w:rsid w:val="00376488"/>
    <w:rsid w:val="00395675"/>
    <w:rsid w:val="003E1CE8"/>
    <w:rsid w:val="0042482B"/>
    <w:rsid w:val="0051333C"/>
    <w:rsid w:val="005301D8"/>
    <w:rsid w:val="00543E73"/>
    <w:rsid w:val="005503BB"/>
    <w:rsid w:val="005A5BC9"/>
    <w:rsid w:val="00614C30"/>
    <w:rsid w:val="00634BD2"/>
    <w:rsid w:val="00650D8D"/>
    <w:rsid w:val="006755F1"/>
    <w:rsid w:val="00686021"/>
    <w:rsid w:val="0069278B"/>
    <w:rsid w:val="006A3980"/>
    <w:rsid w:val="006D6C66"/>
    <w:rsid w:val="00700F31"/>
    <w:rsid w:val="00720025"/>
    <w:rsid w:val="00742C48"/>
    <w:rsid w:val="00794675"/>
    <w:rsid w:val="007A41D7"/>
    <w:rsid w:val="00814B29"/>
    <w:rsid w:val="00814C19"/>
    <w:rsid w:val="00817C0E"/>
    <w:rsid w:val="00863C02"/>
    <w:rsid w:val="008731AB"/>
    <w:rsid w:val="00877384"/>
    <w:rsid w:val="00877A65"/>
    <w:rsid w:val="00884A2C"/>
    <w:rsid w:val="00885E3B"/>
    <w:rsid w:val="009044A2"/>
    <w:rsid w:val="00926397"/>
    <w:rsid w:val="00970D42"/>
    <w:rsid w:val="009731A4"/>
    <w:rsid w:val="009A720A"/>
    <w:rsid w:val="00A10177"/>
    <w:rsid w:val="00A63596"/>
    <w:rsid w:val="00AA4602"/>
    <w:rsid w:val="00AA4AEE"/>
    <w:rsid w:val="00AA4F3A"/>
    <w:rsid w:val="00B0193A"/>
    <w:rsid w:val="00B74DE2"/>
    <w:rsid w:val="00B75A45"/>
    <w:rsid w:val="00BB5A0E"/>
    <w:rsid w:val="00C20EC9"/>
    <w:rsid w:val="00C42195"/>
    <w:rsid w:val="00C709AB"/>
    <w:rsid w:val="00C94045"/>
    <w:rsid w:val="00CB134D"/>
    <w:rsid w:val="00D367B9"/>
    <w:rsid w:val="00D47222"/>
    <w:rsid w:val="00D6286A"/>
    <w:rsid w:val="00D63FAE"/>
    <w:rsid w:val="00D65E99"/>
    <w:rsid w:val="00D660F5"/>
    <w:rsid w:val="00DF1276"/>
    <w:rsid w:val="00E16DBC"/>
    <w:rsid w:val="00E36E91"/>
    <w:rsid w:val="00E412D0"/>
    <w:rsid w:val="00E81D7B"/>
    <w:rsid w:val="00ED0D83"/>
    <w:rsid w:val="00EF49A3"/>
    <w:rsid w:val="00F22C06"/>
    <w:rsid w:val="00F53288"/>
    <w:rsid w:val="00F93329"/>
    <w:rsid w:val="00FE0B4C"/>
    <w:rsid w:val="00F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220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3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3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3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3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3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3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3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3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3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3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3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3C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3C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3C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3C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3C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3C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3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3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3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3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3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3C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3C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3C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3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3C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3C0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D3C0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3C0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2FF6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D6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60F5"/>
  </w:style>
  <w:style w:type="paragraph" w:styleId="Zhlav">
    <w:name w:val="header"/>
    <w:basedOn w:val="Normln"/>
    <w:link w:val="ZhlavChar"/>
    <w:uiPriority w:val="99"/>
    <w:unhideWhenUsed/>
    <w:rsid w:val="00D6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60F5"/>
  </w:style>
  <w:style w:type="character" w:styleId="Odkaznakoment">
    <w:name w:val="annotation reference"/>
    <w:basedOn w:val="Standardnpsmoodstavce"/>
    <w:uiPriority w:val="99"/>
    <w:semiHidden/>
    <w:unhideWhenUsed/>
    <w:rsid w:val="00B74D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4D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4D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4D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4DE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0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D28"/>
    <w:rPr>
      <w:rFonts w:ascii="Segoe UI" w:hAnsi="Segoe UI" w:cs="Segoe UI"/>
      <w:sz w:val="18"/>
      <w:szCs w:val="18"/>
    </w:rPr>
  </w:style>
  <w:style w:type="character" w:customStyle="1" w:styleId="math-inline">
    <w:name w:val="math-inline"/>
    <w:basedOn w:val="Standardnpsmoodstavce"/>
    <w:rsid w:val="00814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5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kvbl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2CA77F-5C92-43D4-ABD7-F4D64CB9DA23}">
  <we:reference id="wa200005502" version="1.0.0.13" store="en-US" storeType="OMEX"/>
  <we:alternateReferences>
    <we:reference id="wa200005502" version="1.0.0.13" store="" storeType="OMEX"/>
  </we:alternateReferences>
  <we:properties>
    <we:property name="docId" value="&quot;GLXu2RCQcs5yfnMzp2iQf&quot;"/>
    <we:property name="data" value="{&quot;version&quot;:9,&quot;queries&quot;:[{&quot;id&quot;:&quot;uI-dpyRRgPJk9Dd2MQ-uB&quot;,&quot;tool&quot;:&quot;chat-html&quot;,&quot;user&quot;:&quot;Translate Hanging system for frames ≥ 30cm Fording line for frames &lt; 30 cm&quot;,&quot;filters&quot;:[],&quot;metrics&quot;:{&quot;systemTokensCount&quot;:[243,243],&quot;promptTokensCount&quot;:[18,18],&quot;contextTokensCount&quot;:[5,5],&quot;historyTokensCount&quot;:[17,17],&quot;totalTokensCount&quot;:[283,283]},&quot;assistant&quot;:&quot;&lt;p&gt;Système d’accrochage pour cadres ≥ 30 cm&lt;br&gt;Cordon pour cadres &amp;lt; 30 cm&lt;/p&gt;&quot;,&quot;chunksCount&quot;:27},{&quot;id&quot;:&quot;Ixibx2puJSaKn3e6rwJjB&quot;,&quot;tool&quot;:&quot;chat-html&quot;,&quot;user&quot;:&quot;Traduire en tcheque&quot;,&quot;filters&quot;:[],&quot;metrics&quot;:{&quot;systemTokensCount&quot;:[243,243],&quot;promptTokensCount&quot;:[7,7],&quot;contextTokensCount&quot;:[5,5],&quot;historyTokensCount&quot;:[70,70],&quot;totalTokensCount&quot;:[325,325]},&quot;assistant&quot;:&quot;&lt;p&gt;&amp;lt; &lt;/p&gt;&quot;,&quot;chunksCount&quot;:7},{&quot;id&quot;:&quot;6lAh-iJXEn7ptGlw-D4L2&quot;,&quot;tool&quot;:&quot;chat-html&quot;,&quot;user&quot;:&quot;Translate to CZECH Translate Hanging system for frames ≥ 30cm Fording line for frames &lt; 30 cm&quot;,&quot;filters&quot;:[],&quot;metrics&quot;:{&quot;systemTokensCount&quot;:[243,243],&quot;promptTokensCount&quot;:[23,23],&quot;contextTokensCount&quot;:[5,5],&quot;historyTokensCount&quot;:[92,92],&quot;totalTokensCount&quot;:[363,363]},&quot;assistant&quot;:&quot;&lt;p&gt;Závěsný systém pro rámy ≥ 30 cm&lt;br&gt;Šňůrka pro rámy &amp;lt; 30 cm&lt;/p&gt;&quot;,&quot;chunksCount&quot;:33}],&quot;_migrations&quot;:{}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F16FD68A0904B8C7D72E401DE617F" ma:contentTypeVersion="17" ma:contentTypeDescription="Create a new document." ma:contentTypeScope="" ma:versionID="ae596d370d249f9faf55f92704f61447">
  <xsd:schema xmlns:xsd="http://www.w3.org/2001/XMLSchema" xmlns:xs="http://www.w3.org/2001/XMLSchema" xmlns:p="http://schemas.microsoft.com/office/2006/metadata/properties" xmlns:ns2="ac0cb2d8-f735-43ae-ae6f-a2541adf6d0e" xmlns:ns3="9d57fc21-99be-4222-a9e1-9c7d032fe3ca" xmlns:ns4="207e5c79-baf1-4d13-841a-0f1c5ebfcd71" targetNamespace="http://schemas.microsoft.com/office/2006/metadata/properties" ma:root="true" ma:fieldsID="11d74d44bf0ed55a74183748b117d5ce" ns2:_="" ns3:_="" ns4:_="">
    <xsd:import namespace="ac0cb2d8-f735-43ae-ae6f-a2541adf6d0e"/>
    <xsd:import namespace="9d57fc21-99be-4222-a9e1-9c7d032fe3ca"/>
    <xsd:import namespace="207e5c79-baf1-4d13-841a-0f1c5ebfc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cb2d8-f735-43ae-ae6f-a2541adf6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7f0ad1-e1ca-4e4c-8f37-11d33ab906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7fc21-99be-4222-a9e1-9c7d032fe3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9d5d6e-f39d-4eff-9d47-5dcabe3d077b}" ma:internalName="TaxCatchAll" ma:showField="CatchAllData" ma:web="9d57fc21-99be-4222-a9e1-9c7d032fe3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e5c79-baf1-4d13-841a-0f1c5ebfc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0cb2d8-f735-43ae-ae6f-a2541adf6d0e">
      <Terms xmlns="http://schemas.microsoft.com/office/infopath/2007/PartnerControls"/>
    </lcf76f155ced4ddcb4097134ff3c332f>
    <TaxCatchAll xmlns="9d57fc21-99be-4222-a9e1-9c7d032fe3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EF0C6-B1CC-488C-A06F-0EC687254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cb2d8-f735-43ae-ae6f-a2541adf6d0e"/>
    <ds:schemaRef ds:uri="9d57fc21-99be-4222-a9e1-9c7d032fe3ca"/>
    <ds:schemaRef ds:uri="207e5c79-baf1-4d13-841a-0f1c5ebfc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CFCE8-B63A-46FC-9BED-6651E6F00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F64B0B-CB62-45D0-9F1C-20552FE3B22E}">
  <ds:schemaRefs>
    <ds:schemaRef ds:uri="http://schemas.microsoft.com/office/2006/metadata/properties"/>
    <ds:schemaRef ds:uri="http://schemas.microsoft.com/office/infopath/2007/PartnerControls"/>
    <ds:schemaRef ds:uri="ac0cb2d8-f735-43ae-ae6f-a2541adf6d0e"/>
    <ds:schemaRef ds:uri="9d57fc21-99be-4222-a9e1-9c7d032fe3ca"/>
  </ds:schemaRefs>
</ds:datastoreItem>
</file>

<file path=customXml/itemProps4.xml><?xml version="1.0" encoding="utf-8"?>
<ds:datastoreItem xmlns:ds="http://schemas.openxmlformats.org/officeDocument/2006/customXml" ds:itemID="{5FF545D4-2C70-4E12-9967-DDAC4C2811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b56643-0c15-476b-8c6e-6ecca9874126}" enabled="1" method="Privileged" siteId="{8bc97f9a-ea86-472e-8ab7-19db58c4c8a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1631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2026-06-29T09:26:00Z</dcterms:created>
  <dcterms:modified xsi:type="dcterms:W3CDTF">2026-08-12T10:15:00Z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0x0101004E5F16FD68A0904B8C7D72E401DE617F</vt:lpwstr>
  </property>
  <property fmtid="{D5CDD505-2E9C-101B-9397-08002B2CF9AE}" pid="3" name="ClassificationContentMarkingFooterShapeIds">
    <vt:lpwstr>28e24781,2e19f229,2ed19cc2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Confidential</vt:lpwstr>
  </property>
  <property fmtid="{D5CDD505-2E9C-101B-9397-08002B2CF9AE}" pid="6" name="MediaServiceImageTags">
    <vt:lpwstr/>
  </property>
</Properties>
</file>