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FBFE8" w14:textId="6E8EDA1F" w:rsidR="00C114FF" w:rsidRPr="006414D3" w:rsidRDefault="00D42565" w:rsidP="00A9226B">
      <w:pPr>
        <w:tabs>
          <w:tab w:val="clear" w:pos="567"/>
        </w:tabs>
        <w:spacing w:line="240" w:lineRule="auto"/>
        <w:rPr>
          <w:i/>
          <w:color w:val="008000"/>
          <w:szCs w:val="22"/>
        </w:rPr>
      </w:pPr>
      <w:r>
        <w:rPr>
          <w:i/>
          <w:iCs/>
          <w:color w:val="008000"/>
          <w:szCs w:val="22"/>
          <w:lang w:val="cs"/>
        </w:rPr>
        <w:t xml:space="preserve"> </w:t>
      </w:r>
    </w:p>
    <w:p w14:paraId="36AFBFE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E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1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C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D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BFFF" w14:textId="7A4153DD" w:rsidR="00C114FF" w:rsidRPr="006414D3" w:rsidRDefault="00D42565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PŘÍLOHA I</w:t>
      </w:r>
    </w:p>
    <w:p w14:paraId="36AFC00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1" w14:textId="77777777" w:rsidR="00C114FF" w:rsidRPr="006414D3" w:rsidRDefault="00D42565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>
        <w:rPr>
          <w:b/>
          <w:bCs/>
          <w:szCs w:val="22"/>
          <w:lang w:val="cs"/>
        </w:rPr>
        <w:t>SOUHRN ÚDAJŮ O PŘÍPRAVKU</w:t>
      </w:r>
    </w:p>
    <w:p w14:paraId="36AFC002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szCs w:val="22"/>
          <w:lang w:val="cs"/>
        </w:rPr>
        <w:br w:type="page"/>
      </w:r>
      <w:r>
        <w:rPr>
          <w:b/>
          <w:bCs/>
          <w:szCs w:val="22"/>
          <w:lang w:val="cs"/>
        </w:rPr>
        <w:lastRenderedPageBreak/>
        <w:t>1.</w:t>
      </w:r>
      <w:r>
        <w:rPr>
          <w:b/>
          <w:bCs/>
          <w:szCs w:val="22"/>
          <w:lang w:val="cs"/>
        </w:rPr>
        <w:tab/>
        <w:t>NÁZEV VETERINÁRNÍHO LÉČIVÉHO PŘÍPRAVKU</w:t>
      </w:r>
    </w:p>
    <w:p w14:paraId="36AFC00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2A006C" w14:textId="77777777" w:rsidR="00A14CF3" w:rsidRPr="006414D3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Iniram 10 mg/ml injekční roztok pro psy a kočky</w:t>
      </w:r>
    </w:p>
    <w:p w14:paraId="36AFC00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7" w14:textId="77777777" w:rsidR="00C114FF" w:rsidRPr="00A14CF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2.</w:t>
      </w:r>
      <w:r>
        <w:rPr>
          <w:b/>
          <w:bCs/>
          <w:szCs w:val="22"/>
          <w:lang w:val="cs"/>
        </w:rPr>
        <w:tab/>
        <w:t>KVALITATIVNÍ A KVANTITATIVNÍ SLOŽENÍ</w:t>
      </w:r>
    </w:p>
    <w:p w14:paraId="36AFC008" w14:textId="77777777" w:rsidR="00C114FF" w:rsidRPr="00A14CF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A7D1CD" w14:textId="77777777" w:rsidR="00A14CF3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Každý ml obsahuje:</w:t>
      </w:r>
    </w:p>
    <w:p w14:paraId="75458FBA" w14:textId="77777777" w:rsidR="00A14CF3" w:rsidRDefault="00A14CF3" w:rsidP="00A9226B">
      <w:pPr>
        <w:tabs>
          <w:tab w:val="clear" w:pos="567"/>
        </w:tabs>
        <w:spacing w:line="240" w:lineRule="auto"/>
        <w:rPr>
          <w:b/>
          <w:szCs w:val="22"/>
        </w:rPr>
      </w:pPr>
    </w:p>
    <w:p w14:paraId="36AFC009" w14:textId="466A40D2" w:rsidR="00C114FF" w:rsidRPr="00A14CF3" w:rsidRDefault="00D42565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bCs/>
          <w:szCs w:val="22"/>
          <w:lang w:val="cs"/>
        </w:rPr>
        <w:t>Léčivé látky:</w:t>
      </w:r>
    </w:p>
    <w:p w14:paraId="36AFC00C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C7D04F4" w14:textId="02DC2671" w:rsidR="00A14CF3" w:rsidRDefault="00A14CF3" w:rsidP="00A14CF3">
      <w:pPr>
        <w:tabs>
          <w:tab w:val="clear" w:pos="567"/>
        </w:tabs>
        <w:spacing w:line="240" w:lineRule="auto"/>
        <w:rPr>
          <w:bCs/>
          <w:szCs w:val="22"/>
        </w:rPr>
      </w:pPr>
      <w:proofErr w:type="spellStart"/>
      <w:r>
        <w:rPr>
          <w:szCs w:val="22"/>
          <w:lang w:val="cs"/>
        </w:rPr>
        <w:t>Maropitant</w:t>
      </w:r>
      <w:r w:rsidR="00A3705F">
        <w:rPr>
          <w:szCs w:val="22"/>
          <w:lang w:val="cs"/>
        </w:rPr>
        <w:t>um</w:t>
      </w:r>
      <w:proofErr w:type="spellEnd"/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</w:r>
      <w:r>
        <w:rPr>
          <w:szCs w:val="22"/>
          <w:lang w:val="cs"/>
        </w:rPr>
        <w:tab/>
        <w:t>10 mg</w:t>
      </w:r>
    </w:p>
    <w:p w14:paraId="1333FF27" w14:textId="77777777" w:rsidR="00A14CF3" w:rsidRPr="00262A6A" w:rsidRDefault="00A14CF3" w:rsidP="00A14CF3">
      <w:pPr>
        <w:tabs>
          <w:tab w:val="clear" w:pos="567"/>
        </w:tabs>
        <w:spacing w:line="240" w:lineRule="auto"/>
        <w:rPr>
          <w:bCs/>
          <w:szCs w:val="22"/>
        </w:rPr>
      </w:pPr>
      <w:r>
        <w:rPr>
          <w:lang w:val="cs"/>
        </w:rPr>
        <w:t xml:space="preserve">(jako </w:t>
      </w:r>
      <w:bookmarkStart w:id="0" w:name="_Hlk164075582"/>
      <w:r>
        <w:rPr>
          <w:lang w:val="cs"/>
        </w:rPr>
        <w:t>maropitanti citras monohydricus</w:t>
      </w:r>
      <w:bookmarkEnd w:id="0"/>
      <w:r>
        <w:rPr>
          <w:lang w:val="cs"/>
        </w:rPr>
        <w:t>)</w:t>
      </w:r>
    </w:p>
    <w:p w14:paraId="60574CEB" w14:textId="77777777" w:rsidR="00A14CF3" w:rsidRPr="006414D3" w:rsidRDefault="00A14C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0D" w14:textId="7B300BFE" w:rsidR="00C114FF" w:rsidRDefault="00D42565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bCs/>
          <w:szCs w:val="22"/>
          <w:lang w:val="cs"/>
        </w:rPr>
        <w:t>Pomocné látky:</w:t>
      </w:r>
    </w:p>
    <w:p w14:paraId="75AD1B08" w14:textId="77777777" w:rsidR="00A14CF3" w:rsidRPr="006414D3" w:rsidRDefault="00A14CF3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8"/>
        <w:gridCol w:w="4533"/>
      </w:tblGrid>
      <w:tr w:rsidR="00D15B21" w14:paraId="36AFC011" w14:textId="77777777" w:rsidTr="00A14CF3">
        <w:tc>
          <w:tcPr>
            <w:tcW w:w="4528" w:type="dxa"/>
            <w:vAlign w:val="center"/>
          </w:tcPr>
          <w:p w14:paraId="36AFC00F" w14:textId="0E485310" w:rsidR="00872C48" w:rsidRPr="00EF3A8A" w:rsidRDefault="00D42565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Kvalitativní</w:t>
            </w:r>
            <w:r>
              <w:rPr>
                <w:szCs w:val="22"/>
                <w:lang w:val="cs"/>
              </w:rPr>
              <w:t xml:space="preserve"> </w:t>
            </w:r>
            <w:r>
              <w:rPr>
                <w:b/>
                <w:bCs/>
                <w:szCs w:val="22"/>
                <w:lang w:val="cs"/>
              </w:rPr>
              <w:t>složení pomocných látek a dalších složek</w:t>
            </w:r>
          </w:p>
        </w:tc>
        <w:tc>
          <w:tcPr>
            <w:tcW w:w="4533" w:type="dxa"/>
            <w:vAlign w:val="center"/>
          </w:tcPr>
          <w:p w14:paraId="36AFC010" w14:textId="543207A3" w:rsidR="00872C48" w:rsidRPr="006414D3" w:rsidRDefault="00D42565" w:rsidP="00617B81">
            <w:pPr>
              <w:spacing w:before="60" w:after="60"/>
              <w:rPr>
                <w:i/>
                <w:iCs/>
                <w:szCs w:val="22"/>
              </w:rPr>
            </w:pPr>
            <w:r>
              <w:rPr>
                <w:b/>
                <w:bCs/>
                <w:szCs w:val="22"/>
                <w:lang w:val="cs"/>
              </w:rPr>
              <w:t>Kvantitativní</w:t>
            </w:r>
            <w:r>
              <w:rPr>
                <w:szCs w:val="22"/>
                <w:lang w:val="cs"/>
              </w:rPr>
              <w:t xml:space="preserve"> </w:t>
            </w:r>
            <w:r>
              <w:rPr>
                <w:b/>
                <w:bCs/>
                <w:szCs w:val="22"/>
                <w:lang w:val="cs"/>
              </w:rPr>
              <w:t xml:space="preserve">složení, pokud </w:t>
            </w:r>
            <w:r w:rsidR="006735EE" w:rsidRPr="006735EE">
              <w:rPr>
                <w:b/>
                <w:bCs/>
                <w:szCs w:val="22"/>
                <w:lang w:val="cs"/>
              </w:rPr>
              <w:t xml:space="preserve">je tato informace nezbytná pro řádné podání </w:t>
            </w:r>
            <w:r>
              <w:rPr>
                <w:b/>
                <w:bCs/>
                <w:szCs w:val="22"/>
                <w:lang w:val="cs"/>
              </w:rPr>
              <w:t>veterinárního léčivého přípravku</w:t>
            </w:r>
          </w:p>
        </w:tc>
      </w:tr>
      <w:tr w:rsidR="00A14CF3" w14:paraId="36AFC014" w14:textId="77777777" w:rsidTr="00A14CF3">
        <w:tc>
          <w:tcPr>
            <w:tcW w:w="4528" w:type="dxa"/>
            <w:vAlign w:val="center"/>
          </w:tcPr>
          <w:p w14:paraId="36AFC012" w14:textId="71ADD5A5" w:rsidR="00A14CF3" w:rsidRPr="00C20734" w:rsidRDefault="00A14CF3" w:rsidP="00A14CF3">
            <w:pPr>
              <w:spacing w:before="60" w:after="60"/>
              <w:ind w:left="567" w:hanging="567"/>
              <w:rPr>
                <w:iCs/>
                <w:szCs w:val="22"/>
              </w:rPr>
            </w:pPr>
            <w:r>
              <w:rPr>
                <w:lang w:val="cs"/>
              </w:rPr>
              <w:t>Metakresol</w:t>
            </w:r>
          </w:p>
        </w:tc>
        <w:tc>
          <w:tcPr>
            <w:tcW w:w="4533" w:type="dxa"/>
            <w:vAlign w:val="center"/>
          </w:tcPr>
          <w:p w14:paraId="36AFC013" w14:textId="34EA17D9" w:rsidR="00A14CF3" w:rsidRPr="00C20734" w:rsidRDefault="00A14CF3" w:rsidP="00A14CF3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3,3 mg</w:t>
            </w:r>
          </w:p>
        </w:tc>
      </w:tr>
      <w:tr w:rsidR="00A14CF3" w14:paraId="36AFC017" w14:textId="77777777" w:rsidTr="00A14CF3">
        <w:tc>
          <w:tcPr>
            <w:tcW w:w="4528" w:type="dxa"/>
            <w:vAlign w:val="center"/>
          </w:tcPr>
          <w:p w14:paraId="36AFC015" w14:textId="13A1B1E2" w:rsidR="00A14CF3" w:rsidRPr="00C20734" w:rsidRDefault="00A14CF3" w:rsidP="00A14CF3">
            <w:pPr>
              <w:spacing w:before="60" w:after="60"/>
              <w:rPr>
                <w:iCs/>
                <w:szCs w:val="22"/>
              </w:rPr>
            </w:pPr>
            <w:r>
              <w:rPr>
                <w:lang w:val="cs"/>
              </w:rPr>
              <w:t>Sodná sůl sulfobutoxybetadexu</w:t>
            </w:r>
          </w:p>
        </w:tc>
        <w:tc>
          <w:tcPr>
            <w:tcW w:w="4533" w:type="dxa"/>
            <w:vAlign w:val="center"/>
          </w:tcPr>
          <w:p w14:paraId="36AFC016" w14:textId="77777777" w:rsidR="00A14CF3" w:rsidRPr="00C20734" w:rsidRDefault="00A14CF3" w:rsidP="00A14CF3">
            <w:pPr>
              <w:spacing w:before="60" w:after="60"/>
              <w:rPr>
                <w:iCs/>
                <w:szCs w:val="22"/>
              </w:rPr>
            </w:pPr>
          </w:p>
        </w:tc>
      </w:tr>
      <w:tr w:rsidR="00A14CF3" w14:paraId="36AFC01A" w14:textId="77777777" w:rsidTr="00A14CF3">
        <w:tc>
          <w:tcPr>
            <w:tcW w:w="4528" w:type="dxa"/>
            <w:vAlign w:val="center"/>
          </w:tcPr>
          <w:p w14:paraId="36AFC018" w14:textId="1E5BEA09" w:rsidR="00A14CF3" w:rsidRPr="00C20734" w:rsidRDefault="00A14CF3" w:rsidP="00A14CF3">
            <w:pPr>
              <w:spacing w:before="60" w:after="60"/>
              <w:rPr>
                <w:iCs/>
                <w:szCs w:val="22"/>
              </w:rPr>
            </w:pPr>
            <w:r>
              <w:rPr>
                <w:rFonts w:eastAsia="SimSun"/>
                <w:color w:val="000000"/>
                <w:lang w:val="cs"/>
              </w:rPr>
              <w:t xml:space="preserve">Voda </w:t>
            </w:r>
            <w:r w:rsidR="00A3705F">
              <w:rPr>
                <w:rFonts w:eastAsia="SimSun"/>
                <w:color w:val="000000"/>
                <w:lang w:val="cs"/>
              </w:rPr>
              <w:t xml:space="preserve">pro </w:t>
            </w:r>
            <w:r>
              <w:rPr>
                <w:rFonts w:eastAsia="SimSun"/>
                <w:color w:val="000000"/>
                <w:lang w:val="cs"/>
              </w:rPr>
              <w:t>injekci</w:t>
            </w:r>
          </w:p>
        </w:tc>
        <w:tc>
          <w:tcPr>
            <w:tcW w:w="4533" w:type="dxa"/>
            <w:vAlign w:val="center"/>
          </w:tcPr>
          <w:p w14:paraId="36AFC019" w14:textId="77777777" w:rsidR="00A14CF3" w:rsidRPr="00C20734" w:rsidRDefault="00A14CF3" w:rsidP="00A14CF3">
            <w:pPr>
              <w:spacing w:before="60" w:after="60"/>
              <w:rPr>
                <w:iCs/>
                <w:szCs w:val="22"/>
              </w:rPr>
            </w:pPr>
          </w:p>
        </w:tc>
      </w:tr>
    </w:tbl>
    <w:p w14:paraId="36AFC021" w14:textId="77777777" w:rsidR="00872C48" w:rsidRPr="006414D3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CB5062" w14:textId="77777777" w:rsidR="00A14CF3" w:rsidRDefault="00A14CF3" w:rsidP="00A14CF3">
      <w:pPr>
        <w:tabs>
          <w:tab w:val="clear" w:pos="567"/>
        </w:tabs>
        <w:spacing w:line="240" w:lineRule="auto"/>
        <w:rPr>
          <w:color w:val="000000"/>
          <w:szCs w:val="22"/>
        </w:rPr>
      </w:pPr>
      <w:r>
        <w:rPr>
          <w:color w:val="000000"/>
          <w:szCs w:val="22"/>
          <w:lang w:val="cs"/>
        </w:rPr>
        <w:t>Čirý, bezbarvý až žlutý roztok.</w:t>
      </w:r>
    </w:p>
    <w:p w14:paraId="36AFC022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9661D1" w14:textId="77777777" w:rsidR="00A14CF3" w:rsidRPr="006414D3" w:rsidRDefault="00A14C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23" w14:textId="461BBAB9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</w:t>
      </w:r>
      <w:r>
        <w:rPr>
          <w:b/>
          <w:bCs/>
          <w:szCs w:val="22"/>
          <w:lang w:val="cs"/>
        </w:rPr>
        <w:tab/>
      </w:r>
      <w:r w:rsidR="00613BDB" w:rsidRPr="00613BDB">
        <w:rPr>
          <w:b/>
          <w:bCs/>
          <w:szCs w:val="22"/>
          <w:lang w:val="cs"/>
        </w:rPr>
        <w:t>KLINICKÉ INFORMACE</w:t>
      </w:r>
      <w:r w:rsidR="00613BDB" w:rsidRPr="00613BDB" w:rsidDel="00613BDB">
        <w:rPr>
          <w:b/>
          <w:bCs/>
          <w:szCs w:val="22"/>
          <w:lang w:val="cs"/>
        </w:rPr>
        <w:t xml:space="preserve"> </w:t>
      </w:r>
    </w:p>
    <w:p w14:paraId="36AFC02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25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cs"/>
        </w:rPr>
        <w:t>3.1</w:t>
      </w:r>
      <w:r>
        <w:rPr>
          <w:b/>
          <w:bCs/>
          <w:szCs w:val="22"/>
          <w:lang w:val="cs"/>
        </w:rPr>
        <w:tab/>
        <w:t>Cílové druhy zvířat</w:t>
      </w:r>
    </w:p>
    <w:p w14:paraId="36AFC02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C14821C" w14:textId="77777777" w:rsidR="00A14CF3" w:rsidRPr="00BB5E5B" w:rsidRDefault="00A14CF3" w:rsidP="00A14CF3">
      <w:pPr>
        <w:tabs>
          <w:tab w:val="clear" w:pos="567"/>
          <w:tab w:val="left" w:pos="0"/>
        </w:tabs>
        <w:spacing w:line="240" w:lineRule="auto"/>
        <w:ind w:left="567" w:hanging="567"/>
        <w:rPr>
          <w:bCs/>
          <w:szCs w:val="22"/>
        </w:rPr>
      </w:pPr>
      <w:r>
        <w:rPr>
          <w:szCs w:val="22"/>
          <w:lang w:val="cs"/>
        </w:rPr>
        <w:t>Psi, kočky</w:t>
      </w:r>
    </w:p>
    <w:p w14:paraId="49B47C61" w14:textId="77777777" w:rsidR="00A14CF3" w:rsidRPr="006414D3" w:rsidRDefault="00A14C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27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3.2</w:t>
      </w:r>
      <w:r>
        <w:rPr>
          <w:b/>
          <w:bCs/>
          <w:szCs w:val="22"/>
          <w:lang w:val="cs"/>
        </w:rPr>
        <w:tab/>
        <w:t>Indikace pro použití pro každý cílový druh zvířat</w:t>
      </w:r>
    </w:p>
    <w:p w14:paraId="36AFC02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6AB8F2" w14:textId="77777777" w:rsidR="00A14CF3" w:rsidRPr="00BB5E5B" w:rsidRDefault="00A14CF3" w:rsidP="00A14CF3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  <w:lang w:val="cs"/>
        </w:rPr>
        <w:t>Psi</w:t>
      </w:r>
      <w:r>
        <w:rPr>
          <w:szCs w:val="22"/>
          <w:lang w:val="cs"/>
        </w:rPr>
        <w:t>:</w:t>
      </w:r>
    </w:p>
    <w:p w14:paraId="3445F022" w14:textId="77777777" w:rsidR="00A14CF3" w:rsidRPr="002E06FC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Léčba a prevence nauzey vyvolané chemoterapií.</w:t>
      </w:r>
    </w:p>
    <w:p w14:paraId="7A1A287B" w14:textId="77777777" w:rsidR="00A14CF3" w:rsidRPr="002E06FC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Prevence zvracení, kromě případů vyvolaných kinetózou.</w:t>
      </w:r>
    </w:p>
    <w:p w14:paraId="588FF89C" w14:textId="77777777" w:rsidR="00A14CF3" w:rsidRPr="002E06FC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Léčba zvracení v kombinaci s jinými podpůrnými opatřeními.</w:t>
      </w:r>
    </w:p>
    <w:p w14:paraId="26415150" w14:textId="77777777" w:rsidR="00A14CF3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Prevence perioperační nauzey a zvracení a zlepšení zotavení z celkové anestezie po užití μ-opiátových receptorových agonistů morfinu.</w:t>
      </w:r>
    </w:p>
    <w:p w14:paraId="32D93F55" w14:textId="77777777" w:rsidR="00A14CF3" w:rsidRPr="00BB5E5B" w:rsidRDefault="00A14CF3" w:rsidP="00A14CF3">
      <w:pPr>
        <w:tabs>
          <w:tab w:val="clear" w:pos="567"/>
        </w:tabs>
        <w:spacing w:line="240" w:lineRule="auto"/>
        <w:rPr>
          <w:szCs w:val="22"/>
        </w:rPr>
      </w:pPr>
    </w:p>
    <w:p w14:paraId="535F6E7A" w14:textId="77777777" w:rsidR="00A14CF3" w:rsidRPr="00BB5E5B" w:rsidRDefault="00A14CF3" w:rsidP="00A14CF3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  <w:lang w:val="cs"/>
        </w:rPr>
        <w:t>Kočky</w:t>
      </w:r>
      <w:r>
        <w:rPr>
          <w:szCs w:val="22"/>
          <w:lang w:val="cs"/>
        </w:rPr>
        <w:t>:</w:t>
      </w:r>
    </w:p>
    <w:p w14:paraId="0F1E2CEB" w14:textId="77777777" w:rsidR="00A14CF3" w:rsidRPr="00BB5E5B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Prevence zvracení a zmírnění nauzey, kromě případů vyvolaných kinetózou.</w:t>
      </w:r>
    </w:p>
    <w:p w14:paraId="13ADEABF" w14:textId="77777777" w:rsidR="00A14CF3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Léčba zvracení v kombinaci s jinými podpůrnými opatřeními.</w:t>
      </w:r>
    </w:p>
    <w:p w14:paraId="36AFC02C" w14:textId="77777777" w:rsidR="00E86CEE" w:rsidRPr="006414D3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6AFC02D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cs"/>
        </w:rPr>
        <w:t>3.3</w:t>
      </w:r>
      <w:r>
        <w:rPr>
          <w:b/>
          <w:bCs/>
          <w:szCs w:val="22"/>
          <w:lang w:val="cs"/>
        </w:rPr>
        <w:tab/>
        <w:t>Kontraindikace</w:t>
      </w:r>
    </w:p>
    <w:p w14:paraId="36AFC02E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B67230B" w14:textId="4C925D41" w:rsidR="004A469E" w:rsidRPr="006414D3" w:rsidRDefault="004A469E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Nepoužívat v případech přecitlivělosti na léčivou látku nebo na některou z pomocných látek.</w:t>
      </w:r>
    </w:p>
    <w:p w14:paraId="36AFC03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AFC033" w14:textId="77777777" w:rsidR="00C114FF" w:rsidRPr="006414D3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cs"/>
        </w:rPr>
        <w:t>3.4</w:t>
      </w:r>
      <w:r>
        <w:rPr>
          <w:b/>
          <w:bCs/>
          <w:szCs w:val="22"/>
          <w:lang w:val="cs"/>
        </w:rPr>
        <w:tab/>
        <w:t xml:space="preserve">Zvláštní upozornění </w:t>
      </w:r>
    </w:p>
    <w:p w14:paraId="36AFC034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9A7C884" w14:textId="77777777" w:rsidR="00A14CF3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Zvracení může být spojeno se závažnými, těžce vysilujícími stavy, včetně gastrointestinální obstrukce; proto by měla být provedena příslušná diagnostická vyšetření.</w:t>
      </w:r>
    </w:p>
    <w:p w14:paraId="54C43F9A" w14:textId="77777777" w:rsidR="00A14CF3" w:rsidRPr="00BB5E5B" w:rsidRDefault="00A14CF3" w:rsidP="00A14CF3">
      <w:pPr>
        <w:tabs>
          <w:tab w:val="clear" w:pos="567"/>
        </w:tabs>
        <w:spacing w:line="240" w:lineRule="auto"/>
        <w:rPr>
          <w:szCs w:val="22"/>
        </w:rPr>
      </w:pPr>
    </w:p>
    <w:p w14:paraId="07C8D403" w14:textId="19D89AC4" w:rsidR="00A14CF3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lastRenderedPageBreak/>
        <w:t>Dle správné veterinární praxe je doporučeno používat antiemetika v kombinaci s jinými veterinárními a podpůrnými opatřeními, jako jsou dieta a doplnění tekutin, v rámci stanovení základní příčiny zvracen</w:t>
      </w:r>
      <w:r w:rsidR="00B7767B">
        <w:rPr>
          <w:szCs w:val="22"/>
          <w:lang w:val="cs"/>
        </w:rPr>
        <w:t>í</w:t>
      </w:r>
      <w:r>
        <w:rPr>
          <w:szCs w:val="22"/>
          <w:lang w:val="cs"/>
        </w:rPr>
        <w:t>.</w:t>
      </w:r>
    </w:p>
    <w:p w14:paraId="3E7A1B21" w14:textId="77777777" w:rsidR="00A14CF3" w:rsidRPr="00BB5E5B" w:rsidRDefault="00A14CF3" w:rsidP="00A14CF3">
      <w:pPr>
        <w:tabs>
          <w:tab w:val="clear" w:pos="567"/>
        </w:tabs>
        <w:spacing w:line="240" w:lineRule="auto"/>
        <w:rPr>
          <w:szCs w:val="22"/>
        </w:rPr>
      </w:pPr>
    </w:p>
    <w:p w14:paraId="6D6FA8FC" w14:textId="7CBF5F27" w:rsidR="00A14CF3" w:rsidRDefault="00A14CF3" w:rsidP="00A14CF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cs"/>
        </w:rPr>
        <w:t>Použití veterinárního léčivého přípravku proti zvracení vyvolaného kinetózou se nedoporučuje.</w:t>
      </w:r>
    </w:p>
    <w:p w14:paraId="6FB2D03E" w14:textId="77777777" w:rsidR="00A14CF3" w:rsidRPr="00BB5E5B" w:rsidRDefault="00A14CF3" w:rsidP="00A14CF3">
      <w:pPr>
        <w:tabs>
          <w:tab w:val="clear" w:pos="567"/>
        </w:tabs>
        <w:spacing w:line="240" w:lineRule="auto"/>
        <w:rPr>
          <w:szCs w:val="22"/>
        </w:rPr>
      </w:pPr>
    </w:p>
    <w:p w14:paraId="39EBCEBD" w14:textId="77777777" w:rsidR="00A14CF3" w:rsidRPr="007D66D0" w:rsidRDefault="00A14CF3" w:rsidP="00A14CF3">
      <w:pPr>
        <w:tabs>
          <w:tab w:val="clear" w:pos="567"/>
        </w:tabs>
        <w:spacing w:line="240" w:lineRule="auto"/>
        <w:rPr>
          <w:szCs w:val="22"/>
          <w:u w:val="single"/>
        </w:rPr>
      </w:pPr>
      <w:r>
        <w:rPr>
          <w:szCs w:val="22"/>
          <w:u w:val="single"/>
          <w:lang w:val="cs"/>
        </w:rPr>
        <w:t>Psi</w:t>
      </w:r>
      <w:r>
        <w:rPr>
          <w:szCs w:val="22"/>
          <w:lang w:val="cs"/>
        </w:rPr>
        <w:t>:</w:t>
      </w:r>
    </w:p>
    <w:p w14:paraId="2666F803" w14:textId="77777777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Přestože maropitant prokázal účinnost při léčbě a prevenci zvracení vyvolaného chemoterapií, zjistilo se, že je účinnější při preventivním podání. Proto se doporučuje podat antiemetikum před podáním chemoterapeutika.</w:t>
      </w:r>
    </w:p>
    <w:p w14:paraId="57454C47" w14:textId="77777777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88C1AAF" w14:textId="77777777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Kočky</w:t>
      </w:r>
      <w:r>
        <w:rPr>
          <w:szCs w:val="22"/>
          <w:lang w:val="cs"/>
        </w:rPr>
        <w:t>:</w:t>
      </w:r>
    </w:p>
    <w:p w14:paraId="51E86BB6" w14:textId="77777777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Účinnost maropitantu pro zmírnění nauzey byla prokázána v modelových studiích (nauzea vyvolaná xylazinem).</w:t>
      </w:r>
    </w:p>
    <w:p w14:paraId="36AFC038" w14:textId="77777777" w:rsidR="00E86CEE" w:rsidRPr="0032357B" w:rsidRDefault="00E86CEE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39" w14:textId="30D72EF0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bookmarkStart w:id="1" w:name="_Hlk200456542"/>
      <w:r>
        <w:rPr>
          <w:b/>
          <w:bCs/>
          <w:szCs w:val="22"/>
          <w:lang w:val="cs"/>
        </w:rPr>
        <w:t>3.5</w:t>
      </w:r>
      <w:r>
        <w:rPr>
          <w:b/>
          <w:bCs/>
          <w:szCs w:val="22"/>
          <w:lang w:val="cs"/>
        </w:rPr>
        <w:tab/>
      </w:r>
      <w:r w:rsidR="00613BDB" w:rsidRPr="00613BDB">
        <w:rPr>
          <w:b/>
          <w:bCs/>
          <w:szCs w:val="22"/>
          <w:lang w:val="cs"/>
        </w:rPr>
        <w:t>Zvláštní opatření pro použití</w:t>
      </w:r>
    </w:p>
    <w:bookmarkEnd w:id="1"/>
    <w:p w14:paraId="36AFC03A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3B" w14:textId="77777777" w:rsidR="00C114FF" w:rsidRPr="0032357B" w:rsidRDefault="00D42565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Zvláštní opatření pro bezpečné použití u cílových druhů zvířat:</w:t>
      </w:r>
    </w:p>
    <w:p w14:paraId="36AFC03C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02CBD1F" w14:textId="4C772CE1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Bezpečnost maropitantu nebyla stanovena u psů mladších 8 týdnů, u koček mladších 16 týdnů a u </w:t>
      </w:r>
      <w:r w:rsidR="00B7767B">
        <w:rPr>
          <w:szCs w:val="22"/>
          <w:lang w:val="cs"/>
        </w:rPr>
        <w:t xml:space="preserve">březích nebo </w:t>
      </w:r>
      <w:proofErr w:type="spellStart"/>
      <w:r>
        <w:rPr>
          <w:szCs w:val="22"/>
          <w:lang w:val="cs"/>
        </w:rPr>
        <w:t>laktujících</w:t>
      </w:r>
      <w:proofErr w:type="spellEnd"/>
      <w:r>
        <w:rPr>
          <w:szCs w:val="22"/>
          <w:lang w:val="cs"/>
        </w:rPr>
        <w:t xml:space="preserve"> fen a koček. Použít pouze po zvážení terapeutického prospěchu a rizika příslušným veterinárním lékařem.</w:t>
      </w:r>
    </w:p>
    <w:p w14:paraId="2F603CB5" w14:textId="77777777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A05BB8E" w14:textId="45E2E1F3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  <w:proofErr w:type="spellStart"/>
      <w:r>
        <w:rPr>
          <w:szCs w:val="22"/>
          <w:lang w:val="cs"/>
        </w:rPr>
        <w:t>Maropitant</w:t>
      </w:r>
      <w:proofErr w:type="spellEnd"/>
      <w:r>
        <w:rPr>
          <w:szCs w:val="22"/>
          <w:lang w:val="cs"/>
        </w:rPr>
        <w:t xml:space="preserve"> je metabolizován v</w:t>
      </w:r>
      <w:r w:rsidR="00F75BFC">
        <w:rPr>
          <w:szCs w:val="22"/>
          <w:lang w:val="cs"/>
        </w:rPr>
        <w:t> </w:t>
      </w:r>
      <w:r>
        <w:rPr>
          <w:szCs w:val="22"/>
          <w:lang w:val="cs"/>
        </w:rPr>
        <w:t>játrech</w:t>
      </w:r>
      <w:r w:rsidR="00F75BFC">
        <w:rPr>
          <w:szCs w:val="22"/>
          <w:lang w:val="cs"/>
        </w:rPr>
        <w:t>,</w:t>
      </w:r>
      <w:r>
        <w:rPr>
          <w:szCs w:val="22"/>
          <w:lang w:val="cs"/>
        </w:rPr>
        <w:t xml:space="preserve"> a proto by měl </w:t>
      </w:r>
      <w:r w:rsidR="00F75BFC">
        <w:rPr>
          <w:szCs w:val="22"/>
          <w:lang w:val="cs"/>
        </w:rPr>
        <w:t xml:space="preserve">být </w:t>
      </w:r>
      <w:r>
        <w:rPr>
          <w:szCs w:val="22"/>
          <w:lang w:val="cs"/>
        </w:rPr>
        <w:t>u zvířat s jaterním onemocněním použív</w:t>
      </w:r>
      <w:r w:rsidR="00F75BFC">
        <w:rPr>
          <w:szCs w:val="22"/>
          <w:lang w:val="cs"/>
        </w:rPr>
        <w:t>án</w:t>
      </w:r>
      <w:r>
        <w:rPr>
          <w:szCs w:val="22"/>
          <w:lang w:val="cs"/>
        </w:rPr>
        <w:t xml:space="preserve"> obezřetně. Vzhledem k tomu, že se maropitant v těle během 14denní léčby hromadí v důsledku metabolické saturace, je třeba při dlouhodobé léčbě pečlivě sledovat funkci jater a případné nežádoucí účinky.</w:t>
      </w:r>
    </w:p>
    <w:p w14:paraId="68F8FB38" w14:textId="77777777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2CA7BDF" w14:textId="2CE7FEE7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by měl být používán s opatrností u zvířat </w:t>
      </w:r>
      <w:r w:rsidR="000873D3">
        <w:rPr>
          <w:szCs w:val="22"/>
          <w:lang w:val="cs"/>
        </w:rPr>
        <w:t>s</w:t>
      </w:r>
      <w:r>
        <w:rPr>
          <w:szCs w:val="22"/>
          <w:lang w:val="cs"/>
        </w:rPr>
        <w:t xml:space="preserve"> nebo </w:t>
      </w:r>
      <w:r w:rsidR="000873D3">
        <w:rPr>
          <w:szCs w:val="22"/>
          <w:lang w:val="cs"/>
        </w:rPr>
        <w:t>s</w:t>
      </w:r>
      <w:r>
        <w:rPr>
          <w:szCs w:val="22"/>
          <w:lang w:val="cs"/>
        </w:rPr>
        <w:t xml:space="preserve"> predispozic</w:t>
      </w:r>
      <w:r w:rsidR="000873D3">
        <w:rPr>
          <w:szCs w:val="22"/>
          <w:lang w:val="cs"/>
        </w:rPr>
        <w:t>í</w:t>
      </w:r>
      <w:r>
        <w:rPr>
          <w:szCs w:val="22"/>
          <w:lang w:val="cs"/>
        </w:rPr>
        <w:t xml:space="preserve"> k onemocněním srdce, jelikož maropitant má afinitu k Ca a K iontovým kanálům. Ve studii </w:t>
      </w:r>
      <w:r w:rsidR="000873D3">
        <w:rPr>
          <w:szCs w:val="22"/>
          <w:lang w:val="cs"/>
        </w:rPr>
        <w:t>u</w:t>
      </w:r>
      <w:r>
        <w:rPr>
          <w:szCs w:val="22"/>
          <w:lang w:val="cs"/>
        </w:rPr>
        <w:t xml:space="preserve"> zdravých psech plemene bígl, kterým byla perorálně podána dávka 8 mg/kg, byl v QT intervalu na EKG pozorován nárůst přibližně o 10 %. Nicméně tento nárůst nemá pravděpodobně klinický význam.</w:t>
      </w:r>
    </w:p>
    <w:p w14:paraId="1CFEDC67" w14:textId="77777777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85A0C58" w14:textId="0E4934FC" w:rsidR="00A14CF3" w:rsidRPr="0032357B" w:rsidRDefault="00A14CF3" w:rsidP="00A14CF3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Kvůli častému výskytu přechodné bolesti při subkutánním podání je třeba použít vhodný postup k fixaci zvířete. Bolest při injekčním podání může zmírnit </w:t>
      </w:r>
      <w:r w:rsidR="000873D3">
        <w:rPr>
          <w:szCs w:val="22"/>
          <w:lang w:val="cs"/>
        </w:rPr>
        <w:t xml:space="preserve">podání </w:t>
      </w:r>
      <w:r>
        <w:rPr>
          <w:szCs w:val="22"/>
          <w:lang w:val="cs"/>
        </w:rPr>
        <w:t xml:space="preserve">chlazeného </w:t>
      </w:r>
      <w:r w:rsidR="000873D3">
        <w:rPr>
          <w:szCs w:val="22"/>
          <w:lang w:val="cs"/>
        </w:rPr>
        <w:t xml:space="preserve">veterinárního léčivého </w:t>
      </w:r>
      <w:r>
        <w:rPr>
          <w:szCs w:val="22"/>
          <w:lang w:val="cs"/>
        </w:rPr>
        <w:t>přípravku.</w:t>
      </w:r>
    </w:p>
    <w:p w14:paraId="36AFC046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47" w14:textId="77777777" w:rsidR="00C114FF" w:rsidRPr="0032357B" w:rsidRDefault="00D42565" w:rsidP="00BF00EF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bookmarkStart w:id="2" w:name="_Hlk200456531"/>
      <w:r>
        <w:rPr>
          <w:szCs w:val="22"/>
          <w:u w:val="single"/>
          <w:lang w:val="cs"/>
        </w:rPr>
        <w:t>Zvláštní opatření pro osobu, která podává veterinární léčivý přípravek zvířatům:</w:t>
      </w:r>
    </w:p>
    <w:bookmarkEnd w:id="2"/>
    <w:p w14:paraId="36AFC048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A459DB5" w14:textId="481B9A6C" w:rsidR="00035281" w:rsidRPr="0032357B" w:rsidRDefault="00860AC2" w:rsidP="00035281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může způsobit senzibilizaci kůže. Lidé se známou přecitlivělostí na </w:t>
      </w:r>
      <w:proofErr w:type="spellStart"/>
      <w:r>
        <w:rPr>
          <w:szCs w:val="22"/>
          <w:lang w:val="cs"/>
        </w:rPr>
        <w:t>maropitant</w:t>
      </w:r>
      <w:proofErr w:type="spellEnd"/>
      <w:r>
        <w:rPr>
          <w:szCs w:val="22"/>
          <w:lang w:val="cs"/>
        </w:rPr>
        <w:t xml:space="preserve"> by měli </w:t>
      </w:r>
      <w:r w:rsidR="00C05D40">
        <w:rPr>
          <w:szCs w:val="22"/>
          <w:lang w:val="cs"/>
        </w:rPr>
        <w:t xml:space="preserve">podávat </w:t>
      </w:r>
      <w:r>
        <w:rPr>
          <w:szCs w:val="22"/>
          <w:lang w:val="cs"/>
        </w:rPr>
        <w:t xml:space="preserve">veterinární léčivý přípravek </w:t>
      </w:r>
      <w:r w:rsidR="00C05D40">
        <w:rPr>
          <w:szCs w:val="22"/>
          <w:lang w:val="cs"/>
        </w:rPr>
        <w:t>obezřetně</w:t>
      </w:r>
      <w:r>
        <w:rPr>
          <w:szCs w:val="22"/>
          <w:lang w:val="cs"/>
        </w:rPr>
        <w:t xml:space="preserve">. Pokud se po náhodné expozici objeví příznaky, jako je například vyrážka, vyhledejte lékařskou pomoc a ukažte příbalovou informaci nebo </w:t>
      </w:r>
      <w:r w:rsidR="00C05D40">
        <w:rPr>
          <w:szCs w:val="22"/>
          <w:lang w:val="cs"/>
        </w:rPr>
        <w:t>etiketu</w:t>
      </w:r>
      <w:r w:rsidR="00C05D40" w:rsidRPr="00C05D40">
        <w:rPr>
          <w:szCs w:val="22"/>
          <w:lang w:val="cs"/>
        </w:rPr>
        <w:t xml:space="preserve"> </w:t>
      </w:r>
      <w:r w:rsidR="00C05D40">
        <w:rPr>
          <w:szCs w:val="22"/>
          <w:lang w:val="cs"/>
        </w:rPr>
        <w:t>lékaři</w:t>
      </w:r>
      <w:r>
        <w:rPr>
          <w:szCs w:val="22"/>
          <w:lang w:val="cs"/>
        </w:rPr>
        <w:t>.</w:t>
      </w:r>
    </w:p>
    <w:p w14:paraId="6C8C468F" w14:textId="29249001" w:rsidR="00BA159A" w:rsidRPr="0032357B" w:rsidRDefault="001A7B97" w:rsidP="00BA159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Maropitant je antagonista receptorů neurokininu-1 (NK1), který působí v centrálním nervovém systému. Náhodné samopodání injekce může způsobit nauzeu, závratě a ospalost. Je třeba dbát na to, aby nedošlo k náhodnému samopodání injekce. V případě náhodného samopodání injekce vyhledejte ihned lékařskou pomoc a ukažte příbalovou informaci nebo </w:t>
      </w:r>
      <w:r w:rsidR="00C05D40">
        <w:rPr>
          <w:szCs w:val="22"/>
          <w:lang w:val="cs"/>
        </w:rPr>
        <w:t>etiketu</w:t>
      </w:r>
      <w:r w:rsidR="00C05D40" w:rsidRPr="00C05D40">
        <w:rPr>
          <w:szCs w:val="22"/>
          <w:lang w:val="cs"/>
        </w:rPr>
        <w:t xml:space="preserve"> </w:t>
      </w:r>
      <w:r w:rsidR="00E34CED">
        <w:rPr>
          <w:szCs w:val="22"/>
          <w:lang w:val="cs"/>
        </w:rPr>
        <w:t xml:space="preserve">praktickému </w:t>
      </w:r>
      <w:r w:rsidR="00C05D40">
        <w:rPr>
          <w:szCs w:val="22"/>
          <w:lang w:val="cs"/>
        </w:rPr>
        <w:t>lékaři</w:t>
      </w:r>
      <w:r>
        <w:rPr>
          <w:szCs w:val="22"/>
          <w:lang w:val="cs"/>
        </w:rPr>
        <w:t xml:space="preserve">. </w:t>
      </w:r>
    </w:p>
    <w:p w14:paraId="5C7BDB67" w14:textId="1D306EC7" w:rsidR="00BA159A" w:rsidRPr="0032357B" w:rsidRDefault="001A7B97" w:rsidP="00BA159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Veterinární léčivý přípravek může dráždit oči. Zamezte styku s očima. V případě náhodného zasažení očí je vypláchněte velkým množstvím vody a vyhledejte lékařskou pomoc. </w:t>
      </w:r>
    </w:p>
    <w:p w14:paraId="73A5F7BC" w14:textId="77777777" w:rsidR="000D3F0F" w:rsidRPr="0032357B" w:rsidRDefault="000D3F0F" w:rsidP="000D3F0F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 xml:space="preserve">Po použití si umyjte ruce. </w:t>
      </w:r>
    </w:p>
    <w:p w14:paraId="36AFC060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61" w14:textId="77777777" w:rsidR="00295140" w:rsidRPr="0032357B" w:rsidRDefault="00D42565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u w:val="single"/>
          <w:lang w:val="cs"/>
        </w:rPr>
        <w:t>Zvláštní opatření na ochranu životního prostředí</w:t>
      </w:r>
      <w:r>
        <w:rPr>
          <w:szCs w:val="22"/>
          <w:lang w:val="cs"/>
        </w:rPr>
        <w:t>:</w:t>
      </w:r>
    </w:p>
    <w:p w14:paraId="36AFC062" w14:textId="77777777" w:rsidR="00295140" w:rsidRPr="0032357B" w:rsidRDefault="0029514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63" w14:textId="7AB551B3" w:rsidR="00C114FF" w:rsidRPr="0032357B" w:rsidRDefault="00D42565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Ne</w:t>
      </w:r>
      <w:r w:rsidR="00A508EE">
        <w:rPr>
          <w:szCs w:val="22"/>
          <w:lang w:val="cs"/>
        </w:rPr>
        <w:t>uplatňuje se</w:t>
      </w:r>
      <w:r>
        <w:rPr>
          <w:szCs w:val="22"/>
          <w:lang w:val="cs"/>
        </w:rPr>
        <w:t>.</w:t>
      </w:r>
    </w:p>
    <w:p w14:paraId="36AFC064" w14:textId="77777777" w:rsidR="00295140" w:rsidRPr="0032357B" w:rsidRDefault="0029514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067" w14:textId="77777777" w:rsidR="00C114FF" w:rsidRPr="0032357B" w:rsidRDefault="00D42565" w:rsidP="00991C16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lastRenderedPageBreak/>
        <w:t>3.6</w:t>
      </w:r>
      <w:r>
        <w:rPr>
          <w:b/>
          <w:bCs/>
          <w:szCs w:val="22"/>
          <w:lang w:val="cs"/>
        </w:rPr>
        <w:tab/>
        <w:t>Nežádoucí účinky</w:t>
      </w:r>
    </w:p>
    <w:p w14:paraId="36AFC068" w14:textId="77777777" w:rsidR="00295140" w:rsidRPr="0032357B" w:rsidRDefault="00295140" w:rsidP="00991C16">
      <w:pPr>
        <w:keepNext/>
        <w:tabs>
          <w:tab w:val="clear" w:pos="567"/>
        </w:tabs>
        <w:spacing w:line="240" w:lineRule="auto"/>
        <w:rPr>
          <w:szCs w:val="22"/>
          <w:lang w:val="it-IT"/>
        </w:rPr>
      </w:pPr>
    </w:p>
    <w:p w14:paraId="5B7DEFEB" w14:textId="77777777" w:rsidR="00BA159A" w:rsidRPr="0032357B" w:rsidRDefault="00BA159A" w:rsidP="00BA159A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cs"/>
        </w:rPr>
        <w:t>Psi, kočky:</w:t>
      </w:r>
    </w:p>
    <w:p w14:paraId="0969E291" w14:textId="77777777" w:rsidR="00BA159A" w:rsidRPr="0032357B" w:rsidRDefault="00BA159A" w:rsidP="00BA159A">
      <w:pPr>
        <w:rPr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BA159A" w14:paraId="0A86D6AB" w14:textId="77777777" w:rsidTr="007D02E7">
        <w:tc>
          <w:tcPr>
            <w:tcW w:w="1957" w:type="pct"/>
          </w:tcPr>
          <w:p w14:paraId="3E258022" w14:textId="77777777" w:rsidR="00BA159A" w:rsidRPr="0032357B" w:rsidRDefault="00BA159A" w:rsidP="007D02E7">
            <w:pPr>
              <w:spacing w:before="60" w:after="60"/>
              <w:rPr>
                <w:szCs w:val="22"/>
                <w:lang w:val="it-IT"/>
              </w:rPr>
            </w:pPr>
            <w:r>
              <w:rPr>
                <w:szCs w:val="22"/>
                <w:lang w:val="cs"/>
              </w:rPr>
              <w:t>Velmi časté</w:t>
            </w:r>
          </w:p>
          <w:p w14:paraId="3FB17FAE" w14:textId="77777777" w:rsidR="00BA159A" w:rsidRPr="0032357B" w:rsidRDefault="00BA159A" w:rsidP="007D02E7">
            <w:pPr>
              <w:spacing w:before="60" w:after="60"/>
              <w:rPr>
                <w:szCs w:val="22"/>
                <w:lang w:val="it-IT"/>
              </w:rPr>
            </w:pPr>
            <w:r>
              <w:rPr>
                <w:szCs w:val="22"/>
                <w:lang w:val="cs"/>
              </w:rPr>
              <w:t>(&gt;1 zvíře / 10 ošetřených zvířat):</w:t>
            </w:r>
          </w:p>
        </w:tc>
        <w:tc>
          <w:tcPr>
            <w:tcW w:w="3043" w:type="pct"/>
            <w:hideMark/>
          </w:tcPr>
          <w:p w14:paraId="177BFC32" w14:textId="190C29FB" w:rsidR="00BA159A" w:rsidRPr="002E06FC" w:rsidRDefault="00BA159A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 xml:space="preserve">Bolest v místě </w:t>
            </w:r>
            <w:r w:rsidR="009C0ABE">
              <w:rPr>
                <w:szCs w:val="22"/>
                <w:lang w:val="cs"/>
              </w:rPr>
              <w:t>inje</w:t>
            </w:r>
            <w:r w:rsidR="008953A9">
              <w:rPr>
                <w:szCs w:val="22"/>
                <w:lang w:val="cs"/>
              </w:rPr>
              <w:t>kčního podání</w:t>
            </w:r>
            <w:r>
              <w:rPr>
                <w:szCs w:val="22"/>
                <w:vertAlign w:val="superscript"/>
                <w:lang w:val="cs"/>
              </w:rPr>
              <w:t>1, 2</w:t>
            </w:r>
          </w:p>
        </w:tc>
      </w:tr>
      <w:tr w:rsidR="00BA159A" w14:paraId="7BA3D120" w14:textId="77777777" w:rsidTr="007D02E7">
        <w:tc>
          <w:tcPr>
            <w:tcW w:w="1957" w:type="pct"/>
          </w:tcPr>
          <w:p w14:paraId="71E6230D" w14:textId="77777777" w:rsidR="00BA159A" w:rsidRPr="006414D3" w:rsidRDefault="00BA159A" w:rsidP="007D02E7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Velmi vzácné</w:t>
            </w:r>
          </w:p>
          <w:p w14:paraId="24DBAE1F" w14:textId="77777777" w:rsidR="00BA159A" w:rsidRPr="006414D3" w:rsidRDefault="00BA159A" w:rsidP="007D02E7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cs"/>
              </w:rPr>
              <w:t>(&lt;1 zvíře / 10 000 ošetřených zvířat, včetně ojedinělých hlášení):</w:t>
            </w:r>
          </w:p>
        </w:tc>
        <w:tc>
          <w:tcPr>
            <w:tcW w:w="3043" w:type="pct"/>
            <w:hideMark/>
          </w:tcPr>
          <w:p w14:paraId="1AB3B39B" w14:textId="02B32FAB" w:rsidR="00BA159A" w:rsidRPr="0007423A" w:rsidRDefault="00BA159A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 xml:space="preserve">Reakce anafylaktického typu (např. alergický </w:t>
            </w:r>
            <w:r w:rsidR="009C0ABE">
              <w:rPr>
                <w:szCs w:val="22"/>
                <w:lang w:val="cs"/>
              </w:rPr>
              <w:t>edém</w:t>
            </w:r>
            <w:r>
              <w:rPr>
                <w:szCs w:val="22"/>
                <w:lang w:val="cs"/>
              </w:rPr>
              <w:t>, kopřivka, erytém, kolaps, dušnost, bledé sliznice)</w:t>
            </w:r>
          </w:p>
          <w:p w14:paraId="7AFDFAB3" w14:textId="77777777" w:rsidR="00BA159A" w:rsidRPr="002E06FC" w:rsidRDefault="00BA159A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Letargie</w:t>
            </w:r>
          </w:p>
          <w:p w14:paraId="7C87AA79" w14:textId="77777777" w:rsidR="00BA159A" w:rsidRPr="006414D3" w:rsidRDefault="00BA159A" w:rsidP="007D02E7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cs"/>
              </w:rPr>
              <w:t>Neurologické poruchy (např. ataxie, křeče, záchvaty, svalový třes)</w:t>
            </w:r>
          </w:p>
        </w:tc>
      </w:tr>
    </w:tbl>
    <w:p w14:paraId="34D0B5D2" w14:textId="77777777" w:rsidR="00BA159A" w:rsidRDefault="00BA159A" w:rsidP="00BA159A">
      <w:pPr>
        <w:tabs>
          <w:tab w:val="clear" w:pos="567"/>
        </w:tabs>
        <w:spacing w:line="240" w:lineRule="auto"/>
        <w:rPr>
          <w:szCs w:val="22"/>
        </w:rPr>
      </w:pPr>
    </w:p>
    <w:p w14:paraId="569AAB7D" w14:textId="6EEA3F8F" w:rsidR="00BA159A" w:rsidRDefault="00BA159A" w:rsidP="00BA159A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vertAlign w:val="superscript"/>
          <w:lang w:val="cs"/>
        </w:rPr>
        <w:t>1</w:t>
      </w:r>
      <w:r>
        <w:rPr>
          <w:szCs w:val="22"/>
          <w:lang w:val="cs"/>
        </w:rPr>
        <w:t xml:space="preserve"> U koček - středně závažná až závažná (přibližně u jedné třetiny koček) při subkutánní aplikaci.</w:t>
      </w:r>
    </w:p>
    <w:p w14:paraId="06B1C5C9" w14:textId="77777777" w:rsidR="00BA159A" w:rsidRPr="0032357B" w:rsidRDefault="00BA159A" w:rsidP="00BA159A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vertAlign w:val="superscript"/>
          <w:lang w:val="cs"/>
        </w:rPr>
        <w:t>2</w:t>
      </w:r>
      <w:r>
        <w:rPr>
          <w:szCs w:val="22"/>
          <w:lang w:val="cs"/>
        </w:rPr>
        <w:t xml:space="preserve"> U psů - při subkutánní aplikaci.</w:t>
      </w:r>
    </w:p>
    <w:p w14:paraId="36AFC07F" w14:textId="77777777" w:rsidR="00295140" w:rsidRPr="0032357B" w:rsidRDefault="00295140" w:rsidP="00AD0710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80" w14:textId="2F38706A" w:rsidR="00247A48" w:rsidRPr="0032357B" w:rsidRDefault="00D42565" w:rsidP="00247A48">
      <w:pPr>
        <w:rPr>
          <w:szCs w:val="22"/>
          <w:lang w:val="cs"/>
        </w:rPr>
      </w:pPr>
      <w:bookmarkStart w:id="3" w:name="_Hlk66891708"/>
      <w:r>
        <w:rPr>
          <w:szCs w:val="22"/>
          <w:lang w:val="cs"/>
        </w:rPr>
        <w:t xml:space="preserve">Hlášení nežádoucích účinků je důležité. Umožňuje nepřetržité sledování bezpečnosti veterinárního léčivého přípravku. Hlášení </w:t>
      </w:r>
      <w:r w:rsidR="009C0ABE" w:rsidRPr="006958FA">
        <w:rPr>
          <w:szCs w:val="22"/>
          <w:lang w:val="cs"/>
        </w:rPr>
        <w:t>je třeba zaslat, pokud možno</w:t>
      </w:r>
      <w:r w:rsidR="009C0ABE">
        <w:rPr>
          <w:szCs w:val="22"/>
          <w:lang w:val="cs"/>
        </w:rPr>
        <w:t>,</w:t>
      </w:r>
      <w:r w:rsidR="009C0ABE" w:rsidDel="009C0ABE">
        <w:rPr>
          <w:szCs w:val="22"/>
          <w:lang w:val="cs"/>
        </w:rPr>
        <w:t xml:space="preserve"> </w:t>
      </w:r>
      <w:r>
        <w:rPr>
          <w:szCs w:val="22"/>
          <w:lang w:val="cs"/>
        </w:rPr>
        <w:t>prostřednictvím veterinárního lékaře, buď držiteli rozhodnutí o registraci, nebo jeho místnímu zástupci, nebo příslušnému vnitrostátnímu orgánu prostřednictvím národního systému hlášení</w:t>
      </w:r>
      <w:hyperlink r:id="rId8" w:history="1"/>
      <w:r>
        <w:rPr>
          <w:szCs w:val="22"/>
          <w:lang w:val="cs"/>
        </w:rPr>
        <w:t>. Podrobné kontaktní údaje naleznete v příbalové informaci.</w:t>
      </w:r>
    </w:p>
    <w:p w14:paraId="36AFC081" w14:textId="77777777" w:rsidR="00A95E81" w:rsidRPr="0032357B" w:rsidRDefault="00A95E81" w:rsidP="00247A48">
      <w:pPr>
        <w:rPr>
          <w:szCs w:val="22"/>
          <w:lang w:val="cs"/>
        </w:rPr>
      </w:pPr>
    </w:p>
    <w:bookmarkEnd w:id="3"/>
    <w:p w14:paraId="36AFC082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3.7</w:t>
      </w:r>
      <w:r>
        <w:rPr>
          <w:b/>
          <w:bCs/>
          <w:szCs w:val="22"/>
          <w:lang w:val="cs"/>
        </w:rPr>
        <w:tab/>
        <w:t>Použití v průběhu březosti, laktace nebo snášky</w:t>
      </w:r>
    </w:p>
    <w:p w14:paraId="36AFC083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2955F1C" w14:textId="77777777" w:rsidR="00BA159A" w:rsidRPr="0032357B" w:rsidRDefault="00BA159A" w:rsidP="00BA159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u w:val="single"/>
          <w:lang w:val="cs"/>
        </w:rPr>
        <w:t>Březost a laktace:</w:t>
      </w:r>
    </w:p>
    <w:p w14:paraId="576E6DD1" w14:textId="77777777" w:rsidR="00BA159A" w:rsidRPr="0032357B" w:rsidRDefault="00BA159A" w:rsidP="00BA159A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277D10E" w14:textId="43AEF7B4" w:rsidR="00BA159A" w:rsidRPr="0032357B" w:rsidRDefault="000873D3" w:rsidP="00BA159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Nebyla stanovena b</w:t>
      </w:r>
      <w:r w:rsidR="00BA159A">
        <w:rPr>
          <w:szCs w:val="22"/>
          <w:lang w:val="cs"/>
        </w:rPr>
        <w:t xml:space="preserve">ezpečnost tohoto veterinárního léčivého přípravku </w:t>
      </w:r>
      <w:r>
        <w:rPr>
          <w:szCs w:val="22"/>
          <w:lang w:val="cs"/>
        </w:rPr>
        <w:t xml:space="preserve">pro použití </w:t>
      </w:r>
      <w:r w:rsidR="00BA159A">
        <w:rPr>
          <w:szCs w:val="22"/>
          <w:lang w:val="cs"/>
        </w:rPr>
        <w:t>během březosti a laktace.</w:t>
      </w:r>
    </w:p>
    <w:p w14:paraId="099BCFAB" w14:textId="2A618829" w:rsidR="00BA159A" w:rsidRPr="0032357B" w:rsidRDefault="00BA159A" w:rsidP="00BA159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Použít pouze po zvážení terapeutického prospěchu a rizika příslušným veterinárním lékařem.</w:t>
      </w:r>
    </w:p>
    <w:p w14:paraId="36AFC098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99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3.8</w:t>
      </w:r>
      <w:r>
        <w:rPr>
          <w:b/>
          <w:bCs/>
          <w:szCs w:val="22"/>
          <w:lang w:val="cs"/>
        </w:rPr>
        <w:tab/>
        <w:t>Interakce s jinými léčivými přípravky a další formy interakce</w:t>
      </w:r>
    </w:p>
    <w:p w14:paraId="36AFC09A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8B871E1" w14:textId="77777777" w:rsidR="00BA159A" w:rsidRPr="0032357B" w:rsidRDefault="00BA159A" w:rsidP="00BA159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by se neměl používat společně s antagonisty kalciových kanálů, protože maropitant má afinitu ke kalciovým kanálům.</w:t>
      </w:r>
    </w:p>
    <w:p w14:paraId="56F5C22B" w14:textId="7AB16994" w:rsidR="00BA159A" w:rsidRPr="0032357B" w:rsidRDefault="00BA159A" w:rsidP="00BA159A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Maropitant se dobře váže na plazmatické bílkoviny a může soutěžit s jinými lé</w:t>
      </w:r>
      <w:r w:rsidR="00321EEF">
        <w:rPr>
          <w:szCs w:val="22"/>
          <w:lang w:val="cs"/>
        </w:rPr>
        <w:t>čivy</w:t>
      </w:r>
      <w:r>
        <w:rPr>
          <w:szCs w:val="22"/>
          <w:lang w:val="cs"/>
        </w:rPr>
        <w:t xml:space="preserve"> se silnou vazbou.</w:t>
      </w:r>
    </w:p>
    <w:p w14:paraId="36AFC0A9" w14:textId="77777777" w:rsidR="00C90EDA" w:rsidRPr="0032357B" w:rsidRDefault="00C90EDA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AA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3.9</w:t>
      </w:r>
      <w:r>
        <w:rPr>
          <w:b/>
          <w:bCs/>
          <w:szCs w:val="22"/>
          <w:lang w:val="cs"/>
        </w:rPr>
        <w:tab/>
        <w:t>Cesty podání a dávkování</w:t>
      </w:r>
    </w:p>
    <w:p w14:paraId="36AFC0AB" w14:textId="77777777" w:rsidR="00145D34" w:rsidRPr="0032357B" w:rsidRDefault="00145D34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32D1DD8" w14:textId="032C470F" w:rsidR="0006169B" w:rsidRPr="0032357B" w:rsidRDefault="00321EEF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S</w:t>
      </w:r>
      <w:r w:rsidR="0006169B">
        <w:rPr>
          <w:szCs w:val="22"/>
          <w:lang w:val="cs"/>
        </w:rPr>
        <w:t>ubkutánní nebo intravenózní podání u psů a koček.</w:t>
      </w:r>
    </w:p>
    <w:p w14:paraId="0F73B30B" w14:textId="77777777" w:rsidR="004A469E" w:rsidRPr="0032357B" w:rsidRDefault="004A469E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0E722A7" w14:textId="6C015D14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Veterinární léčivý přípravek se podává subkutánně nebo intravenózně jednou denně v dávce 1 mg/kg živé hmotnosti (1 ml/10 kg živé hmotnosti) po dobu až 5 po sobě jdoucích dnů. Intravenózní podání veterinárního léčivého přípravku se provádí jako jednorázový bolus bez smíchání přípravku s jinými tekutinami.</w:t>
      </w:r>
    </w:p>
    <w:p w14:paraId="6E29569A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2EC4E8D" w14:textId="7CDEE134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Pro prevenci zvracení by se měl veterinární léčivý přípravek podat více než 1 hodinu předem. D</w:t>
      </w:r>
      <w:r w:rsidR="00321EEF">
        <w:rPr>
          <w:szCs w:val="22"/>
          <w:lang w:val="cs"/>
        </w:rPr>
        <w:t>ob</w:t>
      </w:r>
      <w:r>
        <w:rPr>
          <w:szCs w:val="22"/>
          <w:lang w:val="cs"/>
        </w:rPr>
        <w:t>a trvání účinku je přibližně 24 hodin, a proto lze léčbu aplikovat večer před podáním lé</w:t>
      </w:r>
      <w:r w:rsidR="00B978DF">
        <w:rPr>
          <w:szCs w:val="22"/>
          <w:lang w:val="cs"/>
        </w:rPr>
        <w:t>čiva</w:t>
      </w:r>
      <w:r>
        <w:rPr>
          <w:szCs w:val="22"/>
          <w:lang w:val="cs"/>
        </w:rPr>
        <w:t>, kter</w:t>
      </w:r>
      <w:r w:rsidR="00B978DF">
        <w:rPr>
          <w:szCs w:val="22"/>
          <w:lang w:val="cs"/>
        </w:rPr>
        <w:t>é</w:t>
      </w:r>
      <w:r>
        <w:rPr>
          <w:szCs w:val="22"/>
          <w:lang w:val="cs"/>
        </w:rPr>
        <w:t xml:space="preserve"> může vyvolat zvracení, např. chemoterapie.</w:t>
      </w:r>
    </w:p>
    <w:p w14:paraId="7E8E53C1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E49F49C" w14:textId="0D7287CC" w:rsidR="000C7BAF" w:rsidRPr="0032357B" w:rsidRDefault="000C7BAF" w:rsidP="000C7BAF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Pro zajištění správného dávkování je třeba co nejpřesněji </w:t>
      </w:r>
      <w:r w:rsidR="00321EEF">
        <w:rPr>
          <w:szCs w:val="22"/>
          <w:lang w:val="cs"/>
        </w:rPr>
        <w:t xml:space="preserve">stanovit </w:t>
      </w:r>
      <w:r>
        <w:rPr>
          <w:szCs w:val="22"/>
          <w:lang w:val="cs"/>
        </w:rPr>
        <w:t>živou hmotnost.</w:t>
      </w:r>
    </w:p>
    <w:p w14:paraId="09A506AC" w14:textId="77777777" w:rsidR="000C7BAF" w:rsidRPr="0032357B" w:rsidRDefault="000C7BAF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5301FD4" w14:textId="7DD052FB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Protože farmakokinetická odchylka je velká a maropitant se po opakovaném každodenním podání hromadí v těle, mohou být u některých jedinců při opakovaném podání dostačující nižší dávky, než jsou dávky doporučené.</w:t>
      </w:r>
    </w:p>
    <w:p w14:paraId="1241E6A7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53A57F5" w14:textId="4099CD4C" w:rsidR="0006169B" w:rsidRPr="0032357B" w:rsidRDefault="0006169B" w:rsidP="0006169B">
      <w:pPr>
        <w:tabs>
          <w:tab w:val="clear" w:pos="567"/>
          <w:tab w:val="left" w:pos="0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lastRenderedPageBreak/>
        <w:t>V případě podkožní</w:t>
      </w:r>
      <w:r w:rsidR="00F85BAF">
        <w:rPr>
          <w:szCs w:val="22"/>
          <w:lang w:val="cs"/>
        </w:rPr>
        <w:t>ho podání</w:t>
      </w:r>
      <w:r>
        <w:rPr>
          <w:szCs w:val="22"/>
          <w:lang w:val="cs"/>
        </w:rPr>
        <w:t xml:space="preserve"> viz také „Zvláštní opatření pro bezpečné použití u cílových druhů zvířat“ (bod 3.5).</w:t>
      </w:r>
    </w:p>
    <w:p w14:paraId="36AFC0B5" w14:textId="77777777" w:rsidR="00247A48" w:rsidRPr="0032357B" w:rsidRDefault="00247A48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743710E" w14:textId="41B9B549" w:rsidR="002114CC" w:rsidRPr="0032357B" w:rsidRDefault="00544C06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  <w:r w:rsidRPr="00544C06">
        <w:rPr>
          <w:szCs w:val="22"/>
          <w:lang w:val="cs"/>
        </w:rPr>
        <w:t>Zátku</w:t>
      </w:r>
      <w:r w:rsidR="002114CC">
        <w:rPr>
          <w:szCs w:val="22"/>
          <w:lang w:val="cs"/>
        </w:rPr>
        <w:t xml:space="preserve"> lze propíchnout </w:t>
      </w:r>
      <w:r>
        <w:rPr>
          <w:szCs w:val="22"/>
          <w:lang w:val="cs"/>
        </w:rPr>
        <w:t>max.</w:t>
      </w:r>
      <w:r w:rsidR="002114CC">
        <w:rPr>
          <w:szCs w:val="22"/>
          <w:lang w:val="cs"/>
        </w:rPr>
        <w:t xml:space="preserve"> 125krát.</w:t>
      </w:r>
    </w:p>
    <w:p w14:paraId="31F6DFA4" w14:textId="77777777" w:rsidR="002114CC" w:rsidRPr="0032357B" w:rsidRDefault="002114CC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B6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3.10</w:t>
      </w:r>
      <w:r>
        <w:rPr>
          <w:b/>
          <w:bCs/>
          <w:szCs w:val="22"/>
          <w:lang w:val="cs"/>
        </w:rPr>
        <w:tab/>
        <w:t>Příznaky předávkování</w:t>
      </w:r>
      <w:r>
        <w:rPr>
          <w:szCs w:val="22"/>
          <w:lang w:val="cs"/>
        </w:rPr>
        <w:t xml:space="preserve"> </w:t>
      </w:r>
      <w:r>
        <w:rPr>
          <w:b/>
          <w:bCs/>
          <w:szCs w:val="22"/>
          <w:lang w:val="cs"/>
        </w:rPr>
        <w:t>(a kde je relevantní, první pomoc a antidota)</w:t>
      </w:r>
    </w:p>
    <w:p w14:paraId="36AFC0B7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DBBBE42" w14:textId="01F83C9B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Kromě přechodných reakcí v místě injekčního podání po subkutánní</w:t>
      </w:r>
      <w:r w:rsidR="00F85BAF">
        <w:rPr>
          <w:szCs w:val="22"/>
          <w:lang w:val="cs"/>
        </w:rPr>
        <w:t>m podání</w:t>
      </w:r>
      <w:r>
        <w:rPr>
          <w:szCs w:val="22"/>
          <w:lang w:val="cs"/>
        </w:rPr>
        <w:t xml:space="preserve"> byl </w:t>
      </w:r>
      <w:proofErr w:type="spellStart"/>
      <w:r>
        <w:rPr>
          <w:szCs w:val="22"/>
          <w:lang w:val="cs"/>
        </w:rPr>
        <w:t>maropitant</w:t>
      </w:r>
      <w:proofErr w:type="spellEnd"/>
      <w:r>
        <w:rPr>
          <w:szCs w:val="22"/>
          <w:lang w:val="cs"/>
        </w:rPr>
        <w:t xml:space="preserve"> dobře snášen u psů a mladých koček, kterým se denně aplikovalo až 5 mg/kg živé hmotnosti (5násobek doporučené dávky) po dobu 15 po sobě jdoucích dnů (3násobek doporučené doby podávání). Nebyly předloženy žádné údaje o předávkování u dospělých koček.</w:t>
      </w:r>
    </w:p>
    <w:p w14:paraId="547D809C" w14:textId="77777777" w:rsidR="0006169B" w:rsidRPr="0032357B" w:rsidRDefault="0006169B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B8" w14:textId="77777777" w:rsidR="009A6509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3.11</w:t>
      </w:r>
      <w:r>
        <w:rPr>
          <w:b/>
          <w:bCs/>
          <w:szCs w:val="22"/>
          <w:lang w:val="cs"/>
        </w:rPr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36AFC0B9" w14:textId="77777777" w:rsidR="009A6509" w:rsidRPr="0032357B" w:rsidRDefault="009A6509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4E7284EB" w14:textId="56E84E09" w:rsidR="004708E1" w:rsidRPr="0032357B" w:rsidRDefault="00613BDB" w:rsidP="009A6509">
      <w:pPr>
        <w:tabs>
          <w:tab w:val="clear" w:pos="567"/>
        </w:tabs>
        <w:spacing w:line="240" w:lineRule="auto"/>
        <w:rPr>
          <w:szCs w:val="22"/>
          <w:lang w:val="fr-FR"/>
        </w:rPr>
      </w:pPr>
      <w:r w:rsidRPr="0032357B">
        <w:rPr>
          <w:lang w:val="fr-FR"/>
        </w:rPr>
        <w:t>Neuplatňuje se.</w:t>
      </w:r>
    </w:p>
    <w:p w14:paraId="36AFC0C3" w14:textId="77777777" w:rsidR="009A6509" w:rsidRPr="0032357B" w:rsidRDefault="009A6509" w:rsidP="009A6509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C4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3.12</w:t>
      </w:r>
      <w:r>
        <w:rPr>
          <w:b/>
          <w:bCs/>
          <w:szCs w:val="22"/>
          <w:lang w:val="cs"/>
        </w:rPr>
        <w:tab/>
        <w:t>Ochranné lhůty</w:t>
      </w:r>
    </w:p>
    <w:p w14:paraId="36AFC0C5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63F75293" w14:textId="77777777" w:rsidR="004B0DAC" w:rsidRPr="0032357B" w:rsidRDefault="004B0DAC" w:rsidP="004B0DAC">
      <w:pPr>
        <w:tabs>
          <w:tab w:val="clear" w:pos="567"/>
        </w:tabs>
        <w:spacing w:line="240" w:lineRule="auto"/>
        <w:rPr>
          <w:szCs w:val="22"/>
          <w:lang w:val="fr-FR"/>
        </w:rPr>
      </w:pPr>
      <w:r w:rsidRPr="0032357B">
        <w:rPr>
          <w:lang w:val="fr-FR"/>
        </w:rPr>
        <w:t>Neuplatňuje se.</w:t>
      </w:r>
    </w:p>
    <w:p w14:paraId="36AFC0D1" w14:textId="77777777" w:rsidR="00FC02F3" w:rsidRPr="0032357B" w:rsidRDefault="00FC02F3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D2" w14:textId="3768CD71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</w:t>
      </w:r>
      <w:r>
        <w:rPr>
          <w:b/>
          <w:bCs/>
          <w:szCs w:val="22"/>
          <w:lang w:val="cs"/>
        </w:rPr>
        <w:tab/>
        <w:t>FARMAKOLOGICKÉ INFORMACE</w:t>
      </w:r>
    </w:p>
    <w:p w14:paraId="36AFC0D3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D5" w14:textId="65A65C2B" w:rsidR="00C114FF" w:rsidRPr="0032357B" w:rsidRDefault="00D42565" w:rsidP="0006169B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4.1</w:t>
      </w:r>
      <w:r>
        <w:rPr>
          <w:b/>
          <w:bCs/>
          <w:szCs w:val="22"/>
          <w:lang w:val="cs"/>
        </w:rPr>
        <w:tab/>
        <w:t>ATCvet kód</w:t>
      </w:r>
      <w:r>
        <w:rPr>
          <w:szCs w:val="22"/>
          <w:lang w:val="cs"/>
        </w:rPr>
        <w:t>: QA04AD90</w:t>
      </w:r>
    </w:p>
    <w:p w14:paraId="36AFC0D6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D7" w14:textId="7B9ED1B2" w:rsidR="00C114FF" w:rsidRPr="0032357B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cs"/>
        </w:rPr>
      </w:pPr>
      <w:r>
        <w:rPr>
          <w:b/>
          <w:bCs/>
          <w:szCs w:val="22"/>
          <w:lang w:val="cs"/>
        </w:rPr>
        <w:t>4.2</w:t>
      </w:r>
      <w:r>
        <w:rPr>
          <w:b/>
          <w:bCs/>
          <w:szCs w:val="22"/>
          <w:lang w:val="cs"/>
        </w:rPr>
        <w:tab/>
        <w:t>Farmakodynamika</w:t>
      </w:r>
    </w:p>
    <w:p w14:paraId="36AFC0D8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2D6B9D5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Zvracení je komplexní proces řízený centrálně emetickým centrem. Toto centrum se skládá z několika jader mozkového kmene (</w:t>
      </w:r>
      <w:r w:rsidRPr="00810490">
        <w:rPr>
          <w:i/>
          <w:szCs w:val="22"/>
          <w:lang w:val="cs"/>
        </w:rPr>
        <w:t>area postrema</w:t>
      </w:r>
      <w:r>
        <w:rPr>
          <w:szCs w:val="22"/>
          <w:lang w:val="cs"/>
        </w:rPr>
        <w:t xml:space="preserve">, </w:t>
      </w:r>
      <w:r w:rsidRPr="00810490">
        <w:rPr>
          <w:i/>
          <w:szCs w:val="22"/>
          <w:lang w:val="cs"/>
        </w:rPr>
        <w:t>nucleus tractus solitarius</w:t>
      </w:r>
      <w:r>
        <w:rPr>
          <w:szCs w:val="22"/>
          <w:lang w:val="cs"/>
        </w:rPr>
        <w:t xml:space="preserve">, dorzální motorické jádro </w:t>
      </w:r>
      <w:r w:rsidRPr="00810490">
        <w:rPr>
          <w:i/>
          <w:szCs w:val="22"/>
          <w:lang w:val="cs"/>
        </w:rPr>
        <w:t>nervus vagus</w:t>
      </w:r>
      <w:r>
        <w:rPr>
          <w:szCs w:val="22"/>
          <w:lang w:val="cs"/>
        </w:rPr>
        <w:t>), která přijímají a vzájemně integrují senzorické podněty z centrálních i periferních zdrojů a chemické podněty z cirkulace a mozkomíšního moku.</w:t>
      </w:r>
    </w:p>
    <w:p w14:paraId="22A3D894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2B86216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Maropitant je antagonista neurokininových receptorů 1 (NK1), který inhibuje vazbu substance P, neuropeptidu ze skupiny tachykininů. Substance P se nachází ve významných koncentracích v jádrech, která tvoří emetické centrum, a je považována za klíčový neurotransmiter ovlivňující zvracení. Inhibicí vazby substance P v emetickém centru působí maropitant proti nervovým a humorálním (centrálním i periferním) příčinám zvracení.</w:t>
      </w:r>
    </w:p>
    <w:p w14:paraId="7697A1EF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22C33A8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Různými </w:t>
      </w:r>
      <w:r>
        <w:rPr>
          <w:i/>
          <w:iCs/>
          <w:szCs w:val="22"/>
          <w:lang w:val="cs"/>
        </w:rPr>
        <w:t>in vitro</w:t>
      </w:r>
      <w:r>
        <w:rPr>
          <w:szCs w:val="22"/>
          <w:lang w:val="cs"/>
        </w:rPr>
        <w:t xml:space="preserve"> testy bylo prokázáno, že maropitant se selektivně váže na receptor NK1 a vykazuje funkční antagonistické působení vůči účinkům substance P v závislosti na dávce.</w:t>
      </w:r>
    </w:p>
    <w:p w14:paraId="64C678BD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D12DA28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Maropitant je účinný proti zvracení. Antiemetická účinnost maropitantu proti centrálně i periferně působícím emetikům byla prokázána v experimentálních studiích zahrnujících apomorfin, cisplatinu a ipekakuanhový sirup (psi) a xylazin (kočky).</w:t>
      </w:r>
    </w:p>
    <w:p w14:paraId="4747EECC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U psů mohou po léčbě přetrvávat příznaky nauzey včetně nadměrného slinění a letargie.</w:t>
      </w:r>
    </w:p>
    <w:p w14:paraId="5846F9B4" w14:textId="77777777" w:rsidR="0006169B" w:rsidRPr="0032357B" w:rsidRDefault="0006169B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D9" w14:textId="1D0D1527" w:rsidR="00C114FF" w:rsidRPr="0032357B" w:rsidRDefault="00FD1E4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cs"/>
        </w:rPr>
      </w:pPr>
      <w:r>
        <w:rPr>
          <w:b/>
          <w:bCs/>
          <w:szCs w:val="22"/>
          <w:lang w:val="cs"/>
        </w:rPr>
        <w:t>4.3</w:t>
      </w:r>
      <w:r>
        <w:rPr>
          <w:b/>
          <w:bCs/>
          <w:szCs w:val="22"/>
          <w:lang w:val="cs"/>
        </w:rPr>
        <w:tab/>
        <w:t>Farmakokinetika</w:t>
      </w:r>
    </w:p>
    <w:p w14:paraId="36AFC0DA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86A1458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u w:val="single"/>
          <w:lang w:val="cs"/>
        </w:rPr>
      </w:pPr>
      <w:r>
        <w:rPr>
          <w:szCs w:val="22"/>
          <w:u w:val="single"/>
          <w:lang w:val="cs"/>
        </w:rPr>
        <w:t>Psi</w:t>
      </w:r>
    </w:p>
    <w:p w14:paraId="089B3C47" w14:textId="5DC7A62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 xml:space="preserve">Farmakokinetický profil </w:t>
      </w:r>
      <w:proofErr w:type="spellStart"/>
      <w:r>
        <w:rPr>
          <w:szCs w:val="22"/>
          <w:lang w:val="cs"/>
        </w:rPr>
        <w:t>maropitantu</w:t>
      </w:r>
      <w:proofErr w:type="spellEnd"/>
      <w:r>
        <w:rPr>
          <w:szCs w:val="22"/>
          <w:lang w:val="cs"/>
        </w:rPr>
        <w:t xml:space="preserve"> podaného v jedné subkutánní dávce 1 mg/kg živé hmotnosti psům byl charakterizován maximální koncentrací (C</w:t>
      </w:r>
      <w:r>
        <w:rPr>
          <w:szCs w:val="22"/>
          <w:vertAlign w:val="subscript"/>
          <w:lang w:val="cs"/>
        </w:rPr>
        <w:t>max</w:t>
      </w:r>
      <w:r>
        <w:rPr>
          <w:szCs w:val="22"/>
          <w:lang w:val="cs"/>
        </w:rPr>
        <w:t>) v plazmě přibližně 92 ng/ml; té bylo dosaženo do 0,75 hodiny po podání (T</w:t>
      </w:r>
      <w:r>
        <w:rPr>
          <w:szCs w:val="22"/>
          <w:vertAlign w:val="subscript"/>
          <w:lang w:val="cs"/>
        </w:rPr>
        <w:t>max</w:t>
      </w:r>
      <w:r>
        <w:rPr>
          <w:szCs w:val="22"/>
          <w:lang w:val="cs"/>
        </w:rPr>
        <w:t>). Po dosažení maximální koncentrace došlo k poklesu systémové expozice se zjevným poločasem eliminace (T</w:t>
      </w:r>
      <w:r>
        <w:rPr>
          <w:szCs w:val="22"/>
          <w:vertAlign w:val="subscript"/>
          <w:lang w:val="cs"/>
        </w:rPr>
        <w:t>1/2</w:t>
      </w:r>
      <w:r>
        <w:rPr>
          <w:szCs w:val="22"/>
          <w:lang w:val="cs"/>
        </w:rPr>
        <w:t>) 8,84 hodiny. Po jednorázové intravenózní dávce 1 mg/kg byla počáteční plazmatická koncentrace 363 ng/ml. Distribuční objem v ustáleném stavu (V</w:t>
      </w:r>
      <w:r>
        <w:rPr>
          <w:szCs w:val="22"/>
          <w:vertAlign w:val="subscript"/>
          <w:lang w:val="cs"/>
        </w:rPr>
        <w:t>ss</w:t>
      </w:r>
      <w:r>
        <w:rPr>
          <w:szCs w:val="22"/>
          <w:lang w:val="cs"/>
        </w:rPr>
        <w:t>) byl 9,3 l/kg a systémová clearance byla 1,5 l/h/kg. Poločas eliminace T</w:t>
      </w:r>
      <w:r>
        <w:rPr>
          <w:szCs w:val="22"/>
          <w:vertAlign w:val="subscript"/>
          <w:lang w:val="cs"/>
        </w:rPr>
        <w:t>1/2</w:t>
      </w:r>
      <w:r>
        <w:rPr>
          <w:szCs w:val="22"/>
          <w:lang w:val="cs"/>
        </w:rPr>
        <w:t xml:space="preserve"> po podání intravenózní dávky byl přibližně 5,8 h.</w:t>
      </w:r>
    </w:p>
    <w:p w14:paraId="46642E22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0C4AACFD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Během klinických studií byla prokázána účinnost plazmatických hladin maropitantu po 1 hodině po podání.</w:t>
      </w:r>
    </w:p>
    <w:p w14:paraId="27DB2933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DC8415A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Biologická dostupnost maropitantu po subkutánním podání u psů byla 90,7 %. Maropitant vykazuje lineární kinetiku při subkutánním podání v rozmezí dávek 0,5-2 mg/kg.</w:t>
      </w:r>
    </w:p>
    <w:p w14:paraId="267FD989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11C92D52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Po opakovaném subkutánním podání dávek 1 mg/kg živé hmotnosti jednou denně po dobu pěti po sobě jdoucích dnů byla akumulace 146 %. Maropitant je v játrech metabolizován cytochromem P450 (CYP). V rámci biotransformace maropitantu v játrech byly u psů identifikovány izoformy CYP2D15 a CYP3A12.</w:t>
      </w:r>
    </w:p>
    <w:p w14:paraId="6DDC6061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A6A4EEB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Renální clearance je vedlejší cestou eliminace; v moči se objeví méně než 1 % subkutánní dávky 1 mg/kg, a to buď ve formě maropitantu, nebo jeho hlavního metabolitu. Vazba maropitantu na plazmatické bílkoviny u psů je více než 99 %.</w:t>
      </w:r>
    </w:p>
    <w:p w14:paraId="1B625395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262D362D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u w:val="single"/>
          <w:lang w:val="pl-PL"/>
        </w:rPr>
      </w:pPr>
      <w:r>
        <w:rPr>
          <w:szCs w:val="22"/>
          <w:u w:val="single"/>
          <w:lang w:val="cs"/>
        </w:rPr>
        <w:t>Kočky</w:t>
      </w:r>
    </w:p>
    <w:p w14:paraId="2F8414EB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Farmakokinetický profil maropitantu po podání jedné subkutánní dávky 1 mg/kg živé hmotnosti kočkám byl charakterizován maximální koncentrací (C</w:t>
      </w:r>
      <w:r>
        <w:rPr>
          <w:szCs w:val="22"/>
          <w:vertAlign w:val="subscript"/>
          <w:lang w:val="cs"/>
        </w:rPr>
        <w:t>max</w:t>
      </w:r>
      <w:r>
        <w:rPr>
          <w:szCs w:val="22"/>
          <w:lang w:val="cs"/>
        </w:rPr>
        <w:t>) v plazmě přibližně 165 ng/ml; této hodnoty bylo dosaženo průměrně během 0,32 hodin (19 min) po podání dávky (T</w:t>
      </w:r>
      <w:r>
        <w:rPr>
          <w:szCs w:val="22"/>
          <w:vertAlign w:val="subscript"/>
          <w:lang w:val="cs"/>
        </w:rPr>
        <w:t>max</w:t>
      </w:r>
      <w:r>
        <w:rPr>
          <w:szCs w:val="22"/>
          <w:lang w:val="cs"/>
        </w:rPr>
        <w:t>). Po dosažení maximální koncentrace došlo k poklesu systémové expozice se zjevným poločasem eliminace (T</w:t>
      </w:r>
      <w:r>
        <w:rPr>
          <w:szCs w:val="22"/>
          <w:vertAlign w:val="subscript"/>
          <w:lang w:val="cs"/>
        </w:rPr>
        <w:t>1/2</w:t>
      </w:r>
      <w:r>
        <w:rPr>
          <w:szCs w:val="22"/>
          <w:lang w:val="cs"/>
        </w:rPr>
        <w:t>) 16,8 hodiny. Po podání jedné intravenózní dávky 1 mg/kg byla počáteční koncentrace v plazmě 1040 ng/ml. Distribuční objem v ustáleném stavu (V</w:t>
      </w:r>
      <w:r>
        <w:rPr>
          <w:szCs w:val="22"/>
          <w:vertAlign w:val="subscript"/>
          <w:lang w:val="cs"/>
        </w:rPr>
        <w:t>ss</w:t>
      </w:r>
      <w:r>
        <w:rPr>
          <w:szCs w:val="22"/>
          <w:lang w:val="cs"/>
        </w:rPr>
        <w:t>) byl 2,3 l/kg a systémová clearance 0,51 l/h/kg. Poločas eliminace T</w:t>
      </w:r>
      <w:r>
        <w:rPr>
          <w:szCs w:val="22"/>
          <w:vertAlign w:val="subscript"/>
          <w:lang w:val="cs"/>
        </w:rPr>
        <w:t>1/2</w:t>
      </w:r>
      <w:r>
        <w:rPr>
          <w:szCs w:val="22"/>
          <w:lang w:val="cs"/>
        </w:rPr>
        <w:t xml:space="preserve"> po intravenózním podání byl přibližně 4,9 hod. Zdá se, že u koček má na farmakokinetiku maropitantu vliv stáří, přičemž koťata mají vyšší clearance než dospělé kočky.</w:t>
      </w:r>
    </w:p>
    <w:p w14:paraId="79235A87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5C54E11B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Během klinických studií byla prokázána účinnost plazmatických hladin maropitantu po 1 hodině po podání.</w:t>
      </w:r>
    </w:p>
    <w:p w14:paraId="3F4CB096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7C1F33EB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Biologická dostupnost maropitantu po subkutánním podání u koček byla 91,3 %. Maropitant vykazuje lineární kinetiku při subkutánním podání v rozmezí dávek 0,25-3 mg/kg.</w:t>
      </w:r>
    </w:p>
    <w:p w14:paraId="5417BEDF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2E025EA2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  <w:r>
        <w:rPr>
          <w:szCs w:val="22"/>
          <w:lang w:val="cs"/>
        </w:rPr>
        <w:t>Po opakovaném subkutánním podání dávek 1 mg/kg živé hmotnosti jednou denně po dobu pěti po sobě jdoucích dnů byla akumulace 250 %. Maropitant je v játrech metabolizován cytochromem P450 (CYP). V rámci jaterní biotransformace maropitantu u koček byly identifikovány enzymy příbuzné s CYP1A a CYP3A.</w:t>
      </w:r>
    </w:p>
    <w:p w14:paraId="2BF53CBA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cs"/>
        </w:rPr>
      </w:pPr>
    </w:p>
    <w:p w14:paraId="36AFC0DC" w14:textId="05C5227A" w:rsidR="00C114FF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Renální a fekální clearance jsou pro maropitant vedlejší eliminační cesty, méně než 1 % subkutánní dávky 1 mg/kg se objeví v moči nebo v </w:t>
      </w:r>
      <w:r w:rsidR="00020D61">
        <w:rPr>
          <w:szCs w:val="22"/>
          <w:lang w:val="cs"/>
        </w:rPr>
        <w:t>trusu</w:t>
      </w:r>
      <w:r>
        <w:rPr>
          <w:szCs w:val="22"/>
          <w:lang w:val="cs"/>
        </w:rPr>
        <w:t xml:space="preserve"> jako </w:t>
      </w:r>
      <w:proofErr w:type="spellStart"/>
      <w:r>
        <w:rPr>
          <w:szCs w:val="22"/>
          <w:lang w:val="cs"/>
        </w:rPr>
        <w:t>maropitant</w:t>
      </w:r>
      <w:proofErr w:type="spellEnd"/>
      <w:r>
        <w:rPr>
          <w:szCs w:val="22"/>
          <w:lang w:val="cs"/>
        </w:rPr>
        <w:t xml:space="preserve">. V moči </w:t>
      </w:r>
      <w:r w:rsidR="00F2652B">
        <w:rPr>
          <w:szCs w:val="22"/>
          <w:lang w:val="cs"/>
        </w:rPr>
        <w:t>bylo</w:t>
      </w:r>
      <w:r>
        <w:rPr>
          <w:szCs w:val="22"/>
          <w:lang w:val="cs"/>
        </w:rPr>
        <w:t xml:space="preserve"> objev</w:t>
      </w:r>
      <w:r w:rsidR="00F2652B">
        <w:rPr>
          <w:szCs w:val="22"/>
          <w:lang w:val="cs"/>
        </w:rPr>
        <w:t>eno</w:t>
      </w:r>
      <w:r>
        <w:rPr>
          <w:szCs w:val="22"/>
          <w:lang w:val="cs"/>
        </w:rPr>
        <w:t xml:space="preserve"> 10,4 % a v </w:t>
      </w:r>
      <w:r w:rsidR="00F2652B">
        <w:rPr>
          <w:szCs w:val="22"/>
          <w:lang w:val="cs"/>
        </w:rPr>
        <w:t>trusu</w:t>
      </w:r>
      <w:r>
        <w:rPr>
          <w:szCs w:val="22"/>
          <w:lang w:val="cs"/>
        </w:rPr>
        <w:t xml:space="preserve"> 9,3 % hlavního metabolitu z dávky maropitantu. Vazba maropitantu na plazmatické bílkoviny u koček je odhadována na 99,1 %.</w:t>
      </w:r>
    </w:p>
    <w:p w14:paraId="36AFC0DD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F1CDF99" w14:textId="77777777" w:rsidR="0006169B" w:rsidRPr="0032357B" w:rsidRDefault="0006169B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DE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5.</w:t>
      </w:r>
      <w:r>
        <w:rPr>
          <w:b/>
          <w:bCs/>
          <w:szCs w:val="22"/>
          <w:lang w:val="cs"/>
        </w:rPr>
        <w:tab/>
        <w:t>FARMACEUTICKÉ ÚDAJE</w:t>
      </w:r>
    </w:p>
    <w:p w14:paraId="36AFC0DF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E0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5.1</w:t>
      </w:r>
      <w:r>
        <w:rPr>
          <w:b/>
          <w:bCs/>
          <w:szCs w:val="22"/>
          <w:lang w:val="cs"/>
        </w:rPr>
        <w:tab/>
        <w:t>Hlavní inkompatibility</w:t>
      </w:r>
    </w:p>
    <w:p w14:paraId="36AFC0E1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E4" w14:textId="7E4B47E2" w:rsidR="00C114FF" w:rsidRPr="0032357B" w:rsidRDefault="00544C06" w:rsidP="0006169B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544C06">
        <w:rPr>
          <w:szCs w:val="22"/>
          <w:lang w:val="cs"/>
        </w:rPr>
        <w:t>Studie kompatibility nejsou k dispozici, a proto tento veterinární léčivý přípravek nesmí být mísen s žádnými dalšími veterinárními léčivými přípravky.</w:t>
      </w:r>
      <w:bookmarkStart w:id="4" w:name="_Hlk116646036"/>
    </w:p>
    <w:bookmarkEnd w:id="4"/>
    <w:p w14:paraId="36AFC0E7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E8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5.2</w:t>
      </w:r>
      <w:r>
        <w:rPr>
          <w:b/>
          <w:bCs/>
          <w:szCs w:val="22"/>
          <w:lang w:val="cs"/>
        </w:rPr>
        <w:tab/>
        <w:t>Doba použitelnosti</w:t>
      </w:r>
    </w:p>
    <w:p w14:paraId="36AFC0E9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EA" w14:textId="3162F10B" w:rsidR="00C114FF" w:rsidRPr="0032357B" w:rsidRDefault="00D42565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 xml:space="preserve">Doba použitelnosti veterinárního léčivého přípravku </w:t>
      </w:r>
      <w:r w:rsidR="00544C06" w:rsidRPr="00544C06">
        <w:rPr>
          <w:szCs w:val="22"/>
          <w:lang w:val="cs"/>
        </w:rPr>
        <w:t>v neporušeném obalu</w:t>
      </w:r>
      <w:r>
        <w:rPr>
          <w:szCs w:val="22"/>
          <w:lang w:val="cs"/>
        </w:rPr>
        <w:t>: 28 měsíců</w:t>
      </w:r>
    </w:p>
    <w:p w14:paraId="36AFC0EB" w14:textId="278BC216" w:rsidR="00C114FF" w:rsidRPr="0032357B" w:rsidRDefault="00D42565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Doba použitelnosti po prvním otevření vnitřního obalu: 84 dnů</w:t>
      </w:r>
    </w:p>
    <w:p w14:paraId="36AFC0F0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0F1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5.3</w:t>
      </w:r>
      <w:r>
        <w:rPr>
          <w:b/>
          <w:bCs/>
          <w:szCs w:val="22"/>
          <w:lang w:val="cs"/>
        </w:rPr>
        <w:tab/>
        <w:t>Zvláštní opatření pro uchovávání</w:t>
      </w:r>
    </w:p>
    <w:p w14:paraId="36AFC0F2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1CA60AF4" w14:textId="77777777" w:rsidR="0006169B" w:rsidRPr="0032357B" w:rsidRDefault="0006169B" w:rsidP="0006169B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lastRenderedPageBreak/>
        <w:t>Tento veterinární léčivý přípravek nevyžaduje žádné zvláštní podmínky uchovávání.</w:t>
      </w:r>
    </w:p>
    <w:p w14:paraId="47DDA23E" w14:textId="77777777" w:rsidR="0006169B" w:rsidRPr="0032357B" w:rsidRDefault="0006169B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110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5.4</w:t>
      </w:r>
      <w:r>
        <w:rPr>
          <w:b/>
          <w:bCs/>
          <w:szCs w:val="22"/>
          <w:lang w:val="cs"/>
        </w:rPr>
        <w:tab/>
        <w:t>Druh a složení vnitřního obalu</w:t>
      </w:r>
    </w:p>
    <w:p w14:paraId="36AFC111" w14:textId="77777777" w:rsidR="00C114FF" w:rsidRPr="0032357B" w:rsidRDefault="00C114FF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10D522E" w14:textId="0ACE522C" w:rsidR="003704AF" w:rsidRPr="0032357B" w:rsidRDefault="00A75BAD" w:rsidP="003704AF">
      <w:pPr>
        <w:tabs>
          <w:tab w:val="clear" w:pos="567"/>
        </w:tabs>
        <w:spacing w:line="240" w:lineRule="auto"/>
        <w:rPr>
          <w:bCs/>
          <w:szCs w:val="22"/>
          <w:lang w:val="pl-PL"/>
        </w:rPr>
      </w:pPr>
      <w:bookmarkStart w:id="5" w:name="_Hlk200525835"/>
      <w:r>
        <w:rPr>
          <w:szCs w:val="22"/>
          <w:lang w:val="cs"/>
        </w:rPr>
        <w:t xml:space="preserve">20ml hnědá polypropylenová lahvička nebo 50ml hnědá vícevrstvá (COEX) </w:t>
      </w:r>
      <w:bookmarkStart w:id="6" w:name="_Hlk200524739"/>
      <w:r>
        <w:rPr>
          <w:szCs w:val="22"/>
          <w:lang w:val="cs"/>
        </w:rPr>
        <w:t xml:space="preserve">PP/HV/EVOH/HV/PP </w:t>
      </w:r>
      <w:bookmarkEnd w:id="6"/>
      <w:r>
        <w:rPr>
          <w:szCs w:val="22"/>
          <w:lang w:val="cs"/>
        </w:rPr>
        <w:t>lahvička</w:t>
      </w:r>
      <w:bookmarkStart w:id="7" w:name="_Hlk201573539"/>
      <w:r>
        <w:rPr>
          <w:szCs w:val="22"/>
          <w:lang w:val="cs"/>
        </w:rPr>
        <w:t xml:space="preserve"> uzavřená </w:t>
      </w:r>
      <w:bookmarkEnd w:id="7"/>
      <w:proofErr w:type="spellStart"/>
      <w:r>
        <w:rPr>
          <w:szCs w:val="22"/>
          <w:lang w:val="cs"/>
        </w:rPr>
        <w:t>brombutylovou</w:t>
      </w:r>
      <w:proofErr w:type="spellEnd"/>
      <w:r>
        <w:rPr>
          <w:szCs w:val="22"/>
          <w:lang w:val="cs"/>
        </w:rPr>
        <w:t xml:space="preserve"> pryžovou zátkou a hliníkovým a plastovým odtrhovacím uzávěrem.</w:t>
      </w:r>
    </w:p>
    <w:p w14:paraId="57169B6E" w14:textId="77777777" w:rsidR="003704AF" w:rsidRPr="0032357B" w:rsidRDefault="003704AF" w:rsidP="003704AF">
      <w:pPr>
        <w:tabs>
          <w:tab w:val="clear" w:pos="567"/>
        </w:tabs>
        <w:spacing w:line="240" w:lineRule="auto"/>
        <w:rPr>
          <w:bCs/>
          <w:szCs w:val="22"/>
          <w:lang w:val="pl-PL"/>
        </w:rPr>
      </w:pPr>
    </w:p>
    <w:p w14:paraId="1955BA4F" w14:textId="77777777" w:rsidR="003704AF" w:rsidRPr="0032357B" w:rsidRDefault="003704AF" w:rsidP="003704AF">
      <w:pPr>
        <w:tabs>
          <w:tab w:val="clear" w:pos="567"/>
        </w:tabs>
        <w:spacing w:line="240" w:lineRule="auto"/>
        <w:rPr>
          <w:bCs/>
          <w:szCs w:val="22"/>
          <w:u w:val="single"/>
          <w:lang w:val="pl-PL"/>
        </w:rPr>
      </w:pPr>
      <w:r>
        <w:rPr>
          <w:szCs w:val="22"/>
          <w:u w:val="single"/>
          <w:lang w:val="cs"/>
        </w:rPr>
        <w:t>Velikost balení:</w:t>
      </w:r>
    </w:p>
    <w:p w14:paraId="08D91908" w14:textId="4A3E47E0" w:rsidR="003704AF" w:rsidRPr="0032357B" w:rsidRDefault="00544C06" w:rsidP="003704AF">
      <w:pPr>
        <w:tabs>
          <w:tab w:val="clear" w:pos="567"/>
        </w:tabs>
        <w:spacing w:line="240" w:lineRule="auto"/>
        <w:rPr>
          <w:bCs/>
          <w:szCs w:val="22"/>
          <w:lang w:val="pl-PL"/>
        </w:rPr>
      </w:pPr>
      <w:r>
        <w:rPr>
          <w:szCs w:val="22"/>
          <w:lang w:val="cs"/>
        </w:rPr>
        <w:t xml:space="preserve">Papírová </w:t>
      </w:r>
      <w:r w:rsidR="003704AF">
        <w:rPr>
          <w:szCs w:val="22"/>
          <w:lang w:val="cs"/>
        </w:rPr>
        <w:t>krabička s 20ml lahvičkou.</w:t>
      </w:r>
    </w:p>
    <w:p w14:paraId="0BA20174" w14:textId="1E977CF9" w:rsidR="003704AF" w:rsidRPr="0032357B" w:rsidRDefault="00544C06" w:rsidP="003704AF">
      <w:pPr>
        <w:tabs>
          <w:tab w:val="clear" w:pos="567"/>
        </w:tabs>
        <w:spacing w:line="240" w:lineRule="auto"/>
        <w:rPr>
          <w:bCs/>
          <w:szCs w:val="22"/>
          <w:lang w:val="pl-PL"/>
        </w:rPr>
      </w:pPr>
      <w:r>
        <w:rPr>
          <w:szCs w:val="22"/>
          <w:lang w:val="cs"/>
        </w:rPr>
        <w:t xml:space="preserve">Papírová </w:t>
      </w:r>
      <w:r w:rsidR="003704AF">
        <w:rPr>
          <w:szCs w:val="22"/>
          <w:lang w:val="cs"/>
        </w:rPr>
        <w:t>krabička s 50ml lahvičkou.</w:t>
      </w:r>
    </w:p>
    <w:p w14:paraId="2D88C9AC" w14:textId="77777777" w:rsidR="003704AF" w:rsidRPr="0032357B" w:rsidRDefault="003704AF" w:rsidP="00145C3F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112" w14:textId="2BEB28A6" w:rsidR="00C114FF" w:rsidRPr="0032357B" w:rsidRDefault="00D42565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Na trhu nemusí být všechny velikosti balení.</w:t>
      </w:r>
    </w:p>
    <w:bookmarkEnd w:id="5"/>
    <w:p w14:paraId="36AFC113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114" w14:textId="77777777" w:rsidR="00C114FF" w:rsidRPr="0032357B" w:rsidRDefault="00D42565" w:rsidP="00991C16">
      <w:pPr>
        <w:keepNext/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pl-PL"/>
        </w:rPr>
      </w:pPr>
      <w:r>
        <w:rPr>
          <w:b/>
          <w:bCs/>
          <w:szCs w:val="22"/>
          <w:lang w:val="cs"/>
        </w:rPr>
        <w:t>5.5</w:t>
      </w:r>
      <w:r>
        <w:rPr>
          <w:b/>
          <w:bCs/>
          <w:szCs w:val="22"/>
          <w:lang w:val="cs"/>
        </w:rPr>
        <w:tab/>
        <w:t>Zvláštní opatření pro likvidaci nepoužitých veterinárních léčivých přípravků nebo odpadů, které pochází z těchto přípravků</w:t>
      </w:r>
    </w:p>
    <w:p w14:paraId="36AFC115" w14:textId="77777777" w:rsidR="00C114FF" w:rsidRPr="0032357B" w:rsidRDefault="00C114FF" w:rsidP="00991C16">
      <w:pPr>
        <w:keepNext/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D08C7DF" w14:textId="72372750" w:rsidR="00305CDD" w:rsidRPr="0032357B" w:rsidRDefault="00305CDD" w:rsidP="00305CDD">
      <w:pPr>
        <w:rPr>
          <w:szCs w:val="22"/>
          <w:lang w:val="pl-PL"/>
        </w:rPr>
      </w:pPr>
      <w:r w:rsidRPr="0032357B">
        <w:rPr>
          <w:lang w:val="pl-PL"/>
        </w:rPr>
        <w:t>Léčivé přípravky se nesmí likvidovat prostřednictvím odpadní vody či domovního odpadu.</w:t>
      </w:r>
    </w:p>
    <w:p w14:paraId="36AFC119" w14:textId="77777777" w:rsidR="00FD1E45" w:rsidRPr="0032357B" w:rsidRDefault="00FD1E45" w:rsidP="00FD1E45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11A" w14:textId="77777777" w:rsidR="0078538F" w:rsidRPr="0032357B" w:rsidRDefault="00D42565" w:rsidP="00FD1E45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cs"/>
        </w:rPr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36AFC11D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11E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6AFC11F" w14:textId="77777777" w:rsidR="00C114FF" w:rsidRPr="00D75DD6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6.</w:t>
      </w:r>
      <w:r>
        <w:rPr>
          <w:b/>
          <w:bCs/>
          <w:szCs w:val="22"/>
          <w:lang w:val="cs"/>
        </w:rPr>
        <w:tab/>
        <w:t>JMÉNO DRŽITELE ROZHODNUTÍ O REGISTRACI</w:t>
      </w:r>
    </w:p>
    <w:p w14:paraId="36AFC120" w14:textId="77777777" w:rsidR="00C114FF" w:rsidRPr="00D75DD6" w:rsidRDefault="00C114FF" w:rsidP="00145C3F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7F00D477" w14:textId="77777777" w:rsidR="003704AF" w:rsidRPr="00D75DD6" w:rsidRDefault="003704AF" w:rsidP="003704AF">
      <w:pPr>
        <w:pStyle w:val="Zkladntext"/>
        <w:spacing w:before="6"/>
        <w:rPr>
          <w:sz w:val="21"/>
          <w:lang w:val="it-IT"/>
        </w:rPr>
      </w:pPr>
      <w:r>
        <w:rPr>
          <w:sz w:val="21"/>
          <w:lang w:val="cs"/>
        </w:rPr>
        <w:t>Vet-Agro Multi-Trade Company Sp. z o.o.</w:t>
      </w:r>
    </w:p>
    <w:p w14:paraId="36AFC122" w14:textId="77777777" w:rsidR="00C114FF" w:rsidRPr="00D75DD6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3" w14:textId="77777777" w:rsidR="00C114FF" w:rsidRPr="00D75DD6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4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7.</w:t>
      </w:r>
      <w:r>
        <w:rPr>
          <w:b/>
          <w:bCs/>
          <w:szCs w:val="22"/>
          <w:lang w:val="cs"/>
        </w:rPr>
        <w:tab/>
        <w:t>REGISTRAČNÍ ČÍSLO(A)</w:t>
      </w:r>
    </w:p>
    <w:p w14:paraId="36AFC125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6" w14:textId="40C16C43" w:rsidR="00C114FF" w:rsidRDefault="0081049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96/040/26-C</w:t>
      </w:r>
    </w:p>
    <w:p w14:paraId="5763268C" w14:textId="77777777" w:rsidR="00810490" w:rsidRPr="0032357B" w:rsidRDefault="0081049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4EC5F72A" w14:textId="77777777" w:rsidR="003704AF" w:rsidRPr="0032357B" w:rsidRDefault="003704A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7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it-IT"/>
        </w:rPr>
      </w:pPr>
      <w:r>
        <w:rPr>
          <w:b/>
          <w:bCs/>
          <w:szCs w:val="22"/>
          <w:lang w:val="cs"/>
        </w:rPr>
        <w:t>8.</w:t>
      </w:r>
      <w:r>
        <w:rPr>
          <w:b/>
          <w:bCs/>
          <w:szCs w:val="22"/>
          <w:lang w:val="cs"/>
        </w:rPr>
        <w:tab/>
        <w:t>DATUM PRVNÍ REGISTRACE</w:t>
      </w:r>
    </w:p>
    <w:p w14:paraId="36AFC128" w14:textId="77777777" w:rsidR="00C114FF" w:rsidRPr="0032357B" w:rsidRDefault="00C114F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A" w14:textId="6A4778A3" w:rsidR="00D65777" w:rsidRDefault="0081049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27. 7. 2026</w:t>
      </w:r>
    </w:p>
    <w:p w14:paraId="52EBF276" w14:textId="77777777" w:rsidR="00810490" w:rsidRPr="0032357B" w:rsidRDefault="0081049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B" w14:textId="77777777" w:rsidR="00D65777" w:rsidRPr="0032357B" w:rsidRDefault="00D65777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2C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9.</w:t>
      </w:r>
      <w:r>
        <w:rPr>
          <w:b/>
          <w:bCs/>
          <w:szCs w:val="22"/>
          <w:lang w:val="cs"/>
        </w:rPr>
        <w:tab/>
        <w:t>DATUM POSLEDNÍ REVIZE SOUHRNU ÚDAJŮ O PŘÍPRAVKU</w:t>
      </w:r>
    </w:p>
    <w:p w14:paraId="36AFC138" w14:textId="77777777" w:rsidR="0078538F" w:rsidRPr="0032357B" w:rsidRDefault="0078538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1E682BEB" w14:textId="11CAAB65" w:rsidR="003704AF" w:rsidRDefault="00B978D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r>
        <w:rPr>
          <w:szCs w:val="22"/>
          <w:lang w:val="it-IT"/>
        </w:rPr>
        <w:t>07/2026</w:t>
      </w:r>
    </w:p>
    <w:p w14:paraId="271DEFB3" w14:textId="77777777" w:rsidR="00810490" w:rsidRPr="0032357B" w:rsidRDefault="00810490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  <w:bookmarkStart w:id="8" w:name="_GoBack"/>
      <w:bookmarkEnd w:id="8"/>
    </w:p>
    <w:p w14:paraId="36AFC139" w14:textId="77777777" w:rsidR="00B113B9" w:rsidRPr="0032357B" w:rsidRDefault="00B113B9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3A" w14:textId="77777777" w:rsidR="00C114FF" w:rsidRPr="0032357B" w:rsidRDefault="00D4256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it-IT"/>
        </w:rPr>
      </w:pPr>
      <w:r>
        <w:rPr>
          <w:b/>
          <w:bCs/>
          <w:szCs w:val="22"/>
          <w:lang w:val="cs"/>
        </w:rPr>
        <w:t>10.</w:t>
      </w:r>
      <w:r>
        <w:rPr>
          <w:b/>
          <w:bCs/>
          <w:szCs w:val="22"/>
          <w:lang w:val="cs"/>
        </w:rPr>
        <w:tab/>
        <w:t>KLASIFIKACE VETERINÁRNÍCH LÉČIVÝCH PŘÍPRAVKŮ</w:t>
      </w:r>
    </w:p>
    <w:p w14:paraId="36AFC13B" w14:textId="77777777" w:rsidR="0078538F" w:rsidRPr="0032357B" w:rsidRDefault="0078538F" w:rsidP="00A9226B">
      <w:pPr>
        <w:tabs>
          <w:tab w:val="clear" w:pos="567"/>
        </w:tabs>
        <w:spacing w:line="240" w:lineRule="auto"/>
        <w:rPr>
          <w:szCs w:val="22"/>
          <w:lang w:val="it-IT"/>
        </w:rPr>
      </w:pPr>
    </w:p>
    <w:p w14:paraId="36AFC13E" w14:textId="7025C435" w:rsidR="0078538F" w:rsidRPr="0032357B" w:rsidRDefault="00D42565" w:rsidP="003704AF">
      <w:pPr>
        <w:numPr>
          <w:ilvl w:val="12"/>
          <w:numId w:val="0"/>
        </w:numPr>
        <w:rPr>
          <w:szCs w:val="22"/>
          <w:lang w:val="it-IT"/>
        </w:rPr>
      </w:pPr>
      <w:r>
        <w:rPr>
          <w:szCs w:val="22"/>
          <w:lang w:val="cs"/>
        </w:rPr>
        <w:t>Veterinární léčivý přípravek je vydáván pouze na předpis.</w:t>
      </w:r>
    </w:p>
    <w:p w14:paraId="36AFC13F" w14:textId="77777777" w:rsidR="0078538F" w:rsidRPr="0032357B" w:rsidRDefault="0078538F" w:rsidP="0078538F">
      <w:pPr>
        <w:ind w:right="-318"/>
        <w:rPr>
          <w:szCs w:val="22"/>
          <w:lang w:val="it-IT"/>
        </w:rPr>
      </w:pPr>
    </w:p>
    <w:p w14:paraId="22C03383" w14:textId="77777777" w:rsidR="00B978DF" w:rsidRPr="00810490" w:rsidRDefault="00B978DF" w:rsidP="00B978DF">
      <w:pPr>
        <w:spacing w:line="240" w:lineRule="auto"/>
        <w:jc w:val="both"/>
        <w:rPr>
          <w:i/>
          <w:lang w:val="cs-CZ"/>
        </w:rPr>
      </w:pPr>
      <w:bookmarkStart w:id="9" w:name="_Hlk233722721"/>
      <w:bookmarkStart w:id="10" w:name="_Hlk73467306"/>
      <w:r w:rsidRPr="00810490">
        <w:rPr>
          <w:lang w:val="cs-CZ"/>
        </w:rPr>
        <w:t>Podrobné informace o tomto veterinárním léčivém přípravku jsou k dispozici v databázi přípravků Unie (</w:t>
      </w:r>
      <w:hyperlink r:id="rId9" w:history="1">
        <w:r w:rsidRPr="00810490">
          <w:rPr>
            <w:color w:val="0000FF"/>
            <w:u w:val="single"/>
            <w:lang w:val="cs-CZ"/>
          </w:rPr>
          <w:t>https://medicines.health.europa.eu/veterinary</w:t>
        </w:r>
      </w:hyperlink>
      <w:r w:rsidRPr="00810490">
        <w:rPr>
          <w:lang w:val="cs-CZ"/>
        </w:rPr>
        <w:t>)</w:t>
      </w:r>
      <w:r w:rsidRPr="00810490">
        <w:rPr>
          <w:i/>
          <w:lang w:val="cs-CZ"/>
        </w:rPr>
        <w:t>.</w:t>
      </w:r>
    </w:p>
    <w:p w14:paraId="4284F8C3" w14:textId="77777777" w:rsidR="00B978DF" w:rsidRPr="00810490" w:rsidRDefault="00B978DF" w:rsidP="00B978DF">
      <w:pPr>
        <w:spacing w:line="240" w:lineRule="auto"/>
        <w:jc w:val="both"/>
        <w:rPr>
          <w:lang w:val="cs-CZ"/>
        </w:rPr>
      </w:pPr>
    </w:p>
    <w:p w14:paraId="02483852" w14:textId="77777777" w:rsidR="00B978DF" w:rsidRPr="00810490" w:rsidRDefault="00B978DF" w:rsidP="00B978DF">
      <w:pPr>
        <w:spacing w:line="240" w:lineRule="auto"/>
        <w:jc w:val="both"/>
        <w:rPr>
          <w:lang w:val="cs-CZ"/>
        </w:rPr>
      </w:pPr>
      <w:bookmarkStart w:id="11" w:name="_Hlk148432335"/>
      <w:r w:rsidRPr="00810490">
        <w:rPr>
          <w:lang w:val="cs-CZ"/>
        </w:rPr>
        <w:t>Podrobné informace o tomto veterinárním léčivém přípravku naleznete také v národní databázi (</w:t>
      </w:r>
      <w:hyperlink r:id="rId10" w:history="1">
        <w:r w:rsidRPr="00810490">
          <w:rPr>
            <w:rStyle w:val="Hypertextovodkaz"/>
            <w:lang w:val="cs-CZ"/>
          </w:rPr>
          <w:t>https://www.uskvbl.cz</w:t>
        </w:r>
      </w:hyperlink>
      <w:r w:rsidRPr="00810490">
        <w:rPr>
          <w:lang w:val="cs-CZ"/>
        </w:rPr>
        <w:t>).</w:t>
      </w:r>
    </w:p>
    <w:bookmarkEnd w:id="9"/>
    <w:bookmarkEnd w:id="10"/>
    <w:bookmarkEnd w:id="11"/>
    <w:p w14:paraId="36AFC140" w14:textId="11C07EDD" w:rsidR="0078538F" w:rsidRPr="0032357B" w:rsidRDefault="0078538F" w:rsidP="00B978DF">
      <w:pPr>
        <w:ind w:right="-318"/>
        <w:rPr>
          <w:szCs w:val="22"/>
          <w:lang w:val="it-IT"/>
        </w:rPr>
      </w:pPr>
    </w:p>
    <w:sectPr w:rsidR="0078538F" w:rsidRPr="0032357B" w:rsidSect="006A14B3">
      <w:headerReference w:type="default" r:id="rId11"/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FC048" w14:textId="77777777" w:rsidR="00663063" w:rsidRDefault="00663063">
      <w:pPr>
        <w:spacing w:line="240" w:lineRule="auto"/>
      </w:pPr>
      <w:r>
        <w:separator/>
      </w:r>
    </w:p>
  </w:endnote>
  <w:endnote w:type="continuationSeparator" w:id="0">
    <w:p w14:paraId="3CBD5E0E" w14:textId="77777777" w:rsidR="00663063" w:rsidRDefault="006630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C" w14:textId="77777777" w:rsidR="00C77FA4" w:rsidRPr="00B94A1B" w:rsidRDefault="00D4256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cs"/>
      </w:rPr>
      <w:fldChar w:fldCharType="begin"/>
    </w:r>
    <w:r>
      <w:rPr>
        <w:rFonts w:ascii="Times New Roman" w:hAnsi="Times New Roman"/>
        <w:lang w:val="cs"/>
      </w:rPr>
      <w:instrText xml:space="preserve"> PAGE  \* MERGEFORMAT </w:instrText>
    </w:r>
    <w:r>
      <w:rPr>
        <w:rFonts w:ascii="Times New Roman" w:hAnsi="Times New Roman"/>
        <w:lang w:val="cs"/>
      </w:rPr>
      <w:fldChar w:fldCharType="separate"/>
    </w:r>
    <w:r>
      <w:rPr>
        <w:rFonts w:ascii="Times New Roman" w:hAnsi="Times New Roman"/>
        <w:noProof/>
        <w:lang w:val="cs"/>
      </w:rPr>
      <w:t>25</w:t>
    </w:r>
    <w:r>
      <w:rPr>
        <w:rFonts w:ascii="Times New Roman" w:hAnsi="Times New Roman"/>
        <w:lang w:val="c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FC3FD" w14:textId="77777777" w:rsidR="00C77FA4" w:rsidRDefault="00D42565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cs"/>
      </w:rPr>
      <w:fldChar w:fldCharType="begin"/>
    </w:r>
    <w:r>
      <w:rPr>
        <w:lang w:val="cs"/>
      </w:rPr>
      <w:instrText xml:space="preserve"> PAGE  \* MERGEFORMAT </w:instrText>
    </w:r>
    <w:r>
      <w:rPr>
        <w:lang w:val="cs"/>
      </w:rPr>
      <w:fldChar w:fldCharType="separate"/>
    </w:r>
    <w:r>
      <w:rPr>
        <w:noProof/>
        <w:lang w:val="cs"/>
      </w:rPr>
      <w:t>3</w:t>
    </w:r>
    <w:r>
      <w:rPr>
        <w:lang w:val="c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1912C" w14:textId="77777777" w:rsidR="00663063" w:rsidRDefault="00663063">
      <w:pPr>
        <w:spacing w:line="240" w:lineRule="auto"/>
      </w:pPr>
      <w:r>
        <w:separator/>
      </w:r>
    </w:p>
  </w:footnote>
  <w:footnote w:type="continuationSeparator" w:id="0">
    <w:p w14:paraId="01E35D84" w14:textId="77777777" w:rsidR="00663063" w:rsidRDefault="006630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AFC73" w14:textId="328B6E68" w:rsidR="00C359F0" w:rsidRDefault="00C359F0">
    <w:pPr>
      <w:pStyle w:val="Zhlav"/>
    </w:pPr>
    <w:r w:rsidRPr="00C359F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52E230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1C1D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E25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46F1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9E20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A88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A4D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CE8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60E5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6F9A010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6E202A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7E84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3A3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3EC5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B48D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E69A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30E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583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8236DD0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7B84010A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F6E8F1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B14C672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6EE542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D46A64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EEC111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6825E9C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108AF7B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0DF8529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D390BAF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E268920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FFE2054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93A811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282337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8C72814A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A86F3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7D9A00E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D618EF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E62E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B640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663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408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847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34D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445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4A3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CA98D1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8DC0A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228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091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AC3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C82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B8CB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A27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32A6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C16CE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B18513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94E8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AA38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EBC0B9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1EE4CE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3301A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89EB6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EEC0C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3F0631C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B1404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260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3C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704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364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02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18C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0E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B22A819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6D2B128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D00E23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C82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05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3AC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FED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233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47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5487D4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D1656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C49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48BB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02D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869F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2E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E8D6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68B7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E566334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7E80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009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C0C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1E3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CAF1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4E6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49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BEA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533A5ED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05980C2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8C1EED4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CF42DD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7B271F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CE62F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A0252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E5CAD6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EF0E8A16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5CE785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F8A9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E471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D85D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EC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C2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AA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842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A6A3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630E67BF"/>
    <w:multiLevelType w:val="hybridMultilevel"/>
    <w:tmpl w:val="B1D854E2"/>
    <w:lvl w:ilvl="0" w:tplc="249A8F3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97CB9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9830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F02E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03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6624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E03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2F5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145F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0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 w15:restartNumberingAfterBreak="0">
    <w:nsid w:val="71FB76EB"/>
    <w:multiLevelType w:val="hybridMultilevel"/>
    <w:tmpl w:val="CC66055E"/>
    <w:lvl w:ilvl="0" w:tplc="3DC2D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9456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4A1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8CE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8699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2CB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986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DA0F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B638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087B01"/>
    <w:multiLevelType w:val="hybridMultilevel"/>
    <w:tmpl w:val="D4C290BC"/>
    <w:lvl w:ilvl="0" w:tplc="F67C8A8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B086D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42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54D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89E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846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DAC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B2A5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DAB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A5987"/>
    <w:multiLevelType w:val="hybridMultilevel"/>
    <w:tmpl w:val="D73EEE10"/>
    <w:lvl w:ilvl="0" w:tplc="E8A6E37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450EB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B22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6CB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D6E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22A5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271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EDC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BE07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2"/>
  </w:num>
  <w:num w:numId="4">
    <w:abstractNumId w:val="31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29"/>
  </w:num>
  <w:num w:numId="10">
    <w:abstractNumId w:val="30"/>
  </w:num>
  <w:num w:numId="11">
    <w:abstractNumId w:val="15"/>
  </w:num>
  <w:num w:numId="12">
    <w:abstractNumId w:val="14"/>
  </w:num>
  <w:num w:numId="13">
    <w:abstractNumId w:val="3"/>
  </w:num>
  <w:num w:numId="14">
    <w:abstractNumId w:val="28"/>
  </w:num>
  <w:num w:numId="15">
    <w:abstractNumId w:val="18"/>
  </w:num>
  <w:num w:numId="16">
    <w:abstractNumId w:val="33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4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5"/>
  </w:num>
  <w:num w:numId="31">
    <w:abstractNumId w:val="36"/>
  </w:num>
  <w:num w:numId="32">
    <w:abstractNumId w:val="20"/>
  </w:num>
  <w:num w:numId="33">
    <w:abstractNumId w:val="27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6CD"/>
    <w:rsid w:val="00002CF6"/>
    <w:rsid w:val="00007D5E"/>
    <w:rsid w:val="00020A50"/>
    <w:rsid w:val="00020D61"/>
    <w:rsid w:val="00021B82"/>
    <w:rsid w:val="00024777"/>
    <w:rsid w:val="00024E21"/>
    <w:rsid w:val="000253B7"/>
    <w:rsid w:val="00025984"/>
    <w:rsid w:val="00026056"/>
    <w:rsid w:val="00027100"/>
    <w:rsid w:val="00031A38"/>
    <w:rsid w:val="00035281"/>
    <w:rsid w:val="00036C50"/>
    <w:rsid w:val="0004587C"/>
    <w:rsid w:val="00052D2B"/>
    <w:rsid w:val="00053495"/>
    <w:rsid w:val="0005378F"/>
    <w:rsid w:val="00054F55"/>
    <w:rsid w:val="0006169B"/>
    <w:rsid w:val="00061DB6"/>
    <w:rsid w:val="00062945"/>
    <w:rsid w:val="00070D27"/>
    <w:rsid w:val="00074F67"/>
    <w:rsid w:val="00080453"/>
    <w:rsid w:val="0008169A"/>
    <w:rsid w:val="00082200"/>
    <w:rsid w:val="00083BF6"/>
    <w:rsid w:val="000860CE"/>
    <w:rsid w:val="000873D3"/>
    <w:rsid w:val="00087BE9"/>
    <w:rsid w:val="00090DDB"/>
    <w:rsid w:val="00091E4C"/>
    <w:rsid w:val="00092A37"/>
    <w:rsid w:val="000938A6"/>
    <w:rsid w:val="00096E78"/>
    <w:rsid w:val="00097C1E"/>
    <w:rsid w:val="000A1DF5"/>
    <w:rsid w:val="000A48F0"/>
    <w:rsid w:val="000B700D"/>
    <w:rsid w:val="000B7873"/>
    <w:rsid w:val="000C02A1"/>
    <w:rsid w:val="000C1D4F"/>
    <w:rsid w:val="000C687A"/>
    <w:rsid w:val="000C7BAF"/>
    <w:rsid w:val="000D3F0F"/>
    <w:rsid w:val="000D67D0"/>
    <w:rsid w:val="000E195C"/>
    <w:rsid w:val="000E3602"/>
    <w:rsid w:val="000E705A"/>
    <w:rsid w:val="000F104D"/>
    <w:rsid w:val="000F38DA"/>
    <w:rsid w:val="000F5822"/>
    <w:rsid w:val="000F796B"/>
    <w:rsid w:val="000F7B44"/>
    <w:rsid w:val="0010031E"/>
    <w:rsid w:val="0010063B"/>
    <w:rsid w:val="001012EB"/>
    <w:rsid w:val="001078D1"/>
    <w:rsid w:val="00111185"/>
    <w:rsid w:val="00115151"/>
    <w:rsid w:val="00115782"/>
    <w:rsid w:val="00121A38"/>
    <w:rsid w:val="00122CEE"/>
    <w:rsid w:val="00124F36"/>
    <w:rsid w:val="00125666"/>
    <w:rsid w:val="00125C80"/>
    <w:rsid w:val="001341F1"/>
    <w:rsid w:val="0013799F"/>
    <w:rsid w:val="00140DF6"/>
    <w:rsid w:val="00145C3F"/>
    <w:rsid w:val="00145D34"/>
    <w:rsid w:val="00146284"/>
    <w:rsid w:val="0014690F"/>
    <w:rsid w:val="0015098E"/>
    <w:rsid w:val="0015146C"/>
    <w:rsid w:val="001549A9"/>
    <w:rsid w:val="0016293D"/>
    <w:rsid w:val="00162F26"/>
    <w:rsid w:val="00164543"/>
    <w:rsid w:val="001674D3"/>
    <w:rsid w:val="00167875"/>
    <w:rsid w:val="00167BBE"/>
    <w:rsid w:val="00175264"/>
    <w:rsid w:val="00176406"/>
    <w:rsid w:val="001803D2"/>
    <w:rsid w:val="0018228B"/>
    <w:rsid w:val="00185A5A"/>
    <w:rsid w:val="00185B50"/>
    <w:rsid w:val="0018625C"/>
    <w:rsid w:val="0018722A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97E81"/>
    <w:rsid w:val="001A0E2C"/>
    <w:rsid w:val="001A28C9"/>
    <w:rsid w:val="001A34BC"/>
    <w:rsid w:val="001A3F9F"/>
    <w:rsid w:val="001A7B97"/>
    <w:rsid w:val="001B1C77"/>
    <w:rsid w:val="001B26EB"/>
    <w:rsid w:val="001B6F4A"/>
    <w:rsid w:val="001C0144"/>
    <w:rsid w:val="001C4129"/>
    <w:rsid w:val="001C5288"/>
    <w:rsid w:val="001C5B03"/>
    <w:rsid w:val="001D2E94"/>
    <w:rsid w:val="001D46EF"/>
    <w:rsid w:val="001D6052"/>
    <w:rsid w:val="001D6D96"/>
    <w:rsid w:val="001E2496"/>
    <w:rsid w:val="001E5621"/>
    <w:rsid w:val="001F3EF9"/>
    <w:rsid w:val="001F627D"/>
    <w:rsid w:val="001F6622"/>
    <w:rsid w:val="0020126C"/>
    <w:rsid w:val="0020548E"/>
    <w:rsid w:val="002100FC"/>
    <w:rsid w:val="002114CC"/>
    <w:rsid w:val="00213890"/>
    <w:rsid w:val="00214E52"/>
    <w:rsid w:val="002207C0"/>
    <w:rsid w:val="00224791"/>
    <w:rsid w:val="00224B93"/>
    <w:rsid w:val="00232A02"/>
    <w:rsid w:val="0023676E"/>
    <w:rsid w:val="002414B6"/>
    <w:rsid w:val="002422EB"/>
    <w:rsid w:val="00242397"/>
    <w:rsid w:val="00247A48"/>
    <w:rsid w:val="00250DD1"/>
    <w:rsid w:val="00251183"/>
    <w:rsid w:val="002511B1"/>
    <w:rsid w:val="00251689"/>
    <w:rsid w:val="0025267C"/>
    <w:rsid w:val="00253B6B"/>
    <w:rsid w:val="00265656"/>
    <w:rsid w:val="00265E77"/>
    <w:rsid w:val="00266155"/>
    <w:rsid w:val="0027270B"/>
    <w:rsid w:val="00282E7B"/>
    <w:rsid w:val="002838C8"/>
    <w:rsid w:val="002845B4"/>
    <w:rsid w:val="00285071"/>
    <w:rsid w:val="002859C5"/>
    <w:rsid w:val="00285FDC"/>
    <w:rsid w:val="002861CD"/>
    <w:rsid w:val="00290805"/>
    <w:rsid w:val="00290C2A"/>
    <w:rsid w:val="002931DD"/>
    <w:rsid w:val="00295140"/>
    <w:rsid w:val="002A0E7C"/>
    <w:rsid w:val="002A15E1"/>
    <w:rsid w:val="002A21ED"/>
    <w:rsid w:val="002A3F88"/>
    <w:rsid w:val="002A710D"/>
    <w:rsid w:val="002B0F11"/>
    <w:rsid w:val="002B2E17"/>
    <w:rsid w:val="002B3339"/>
    <w:rsid w:val="002B4047"/>
    <w:rsid w:val="002B6560"/>
    <w:rsid w:val="002C1306"/>
    <w:rsid w:val="002C1F7D"/>
    <w:rsid w:val="002C3BA1"/>
    <w:rsid w:val="002C55FF"/>
    <w:rsid w:val="002C592B"/>
    <w:rsid w:val="002D0278"/>
    <w:rsid w:val="002D300D"/>
    <w:rsid w:val="002D3F2C"/>
    <w:rsid w:val="002D4504"/>
    <w:rsid w:val="002E0CD4"/>
    <w:rsid w:val="002E1ADD"/>
    <w:rsid w:val="002E3A90"/>
    <w:rsid w:val="002E46CC"/>
    <w:rsid w:val="002E4F48"/>
    <w:rsid w:val="002E62CB"/>
    <w:rsid w:val="002E6DF1"/>
    <w:rsid w:val="002E6ED9"/>
    <w:rsid w:val="002F0957"/>
    <w:rsid w:val="002F3C6F"/>
    <w:rsid w:val="002F41AD"/>
    <w:rsid w:val="002F43F6"/>
    <w:rsid w:val="002F5D23"/>
    <w:rsid w:val="002F6DAA"/>
    <w:rsid w:val="002F71D5"/>
    <w:rsid w:val="00300013"/>
    <w:rsid w:val="003020BB"/>
    <w:rsid w:val="00302266"/>
    <w:rsid w:val="003022FC"/>
    <w:rsid w:val="00304393"/>
    <w:rsid w:val="00305AB2"/>
    <w:rsid w:val="00305CDD"/>
    <w:rsid w:val="00307DE1"/>
    <w:rsid w:val="0031032B"/>
    <w:rsid w:val="003122A3"/>
    <w:rsid w:val="00316E87"/>
    <w:rsid w:val="00321EEF"/>
    <w:rsid w:val="0032357B"/>
    <w:rsid w:val="0032453E"/>
    <w:rsid w:val="00325053"/>
    <w:rsid w:val="003256AC"/>
    <w:rsid w:val="0033129D"/>
    <w:rsid w:val="003320ED"/>
    <w:rsid w:val="0033480E"/>
    <w:rsid w:val="003357B1"/>
    <w:rsid w:val="00337123"/>
    <w:rsid w:val="00340FFC"/>
    <w:rsid w:val="00341866"/>
    <w:rsid w:val="0034378D"/>
    <w:rsid w:val="003445B5"/>
    <w:rsid w:val="00345C53"/>
    <w:rsid w:val="003535E0"/>
    <w:rsid w:val="00355D02"/>
    <w:rsid w:val="003568DF"/>
    <w:rsid w:val="00357C73"/>
    <w:rsid w:val="003615F4"/>
    <w:rsid w:val="00361607"/>
    <w:rsid w:val="00366F56"/>
    <w:rsid w:val="003704AF"/>
    <w:rsid w:val="003737C8"/>
    <w:rsid w:val="0037589D"/>
    <w:rsid w:val="00375924"/>
    <w:rsid w:val="00376BB1"/>
    <w:rsid w:val="00377E23"/>
    <w:rsid w:val="003803CC"/>
    <w:rsid w:val="0038277C"/>
    <w:rsid w:val="003837F1"/>
    <w:rsid w:val="003841FC"/>
    <w:rsid w:val="0038638B"/>
    <w:rsid w:val="003909E0"/>
    <w:rsid w:val="00393E09"/>
    <w:rsid w:val="00395B15"/>
    <w:rsid w:val="00396026"/>
    <w:rsid w:val="003A31B9"/>
    <w:rsid w:val="003A3E2F"/>
    <w:rsid w:val="003A6CCB"/>
    <w:rsid w:val="003B10C4"/>
    <w:rsid w:val="003B1526"/>
    <w:rsid w:val="003B48EB"/>
    <w:rsid w:val="003B4F7A"/>
    <w:rsid w:val="003B5CD1"/>
    <w:rsid w:val="003C1D04"/>
    <w:rsid w:val="003C33FF"/>
    <w:rsid w:val="003C64A5"/>
    <w:rsid w:val="003D03CC"/>
    <w:rsid w:val="003D378C"/>
    <w:rsid w:val="003D3893"/>
    <w:rsid w:val="003D4BB7"/>
    <w:rsid w:val="003E0116"/>
    <w:rsid w:val="003E04B7"/>
    <w:rsid w:val="003E107C"/>
    <w:rsid w:val="003E1762"/>
    <w:rsid w:val="003E26C3"/>
    <w:rsid w:val="003F0BC8"/>
    <w:rsid w:val="003F0D6C"/>
    <w:rsid w:val="003F0F26"/>
    <w:rsid w:val="003F12D9"/>
    <w:rsid w:val="003F1B4C"/>
    <w:rsid w:val="003F3CE6"/>
    <w:rsid w:val="003F5DCF"/>
    <w:rsid w:val="003F677F"/>
    <w:rsid w:val="004008F6"/>
    <w:rsid w:val="00412BBE"/>
    <w:rsid w:val="0041440C"/>
    <w:rsid w:val="00414B20"/>
    <w:rsid w:val="00417DE3"/>
    <w:rsid w:val="00420850"/>
    <w:rsid w:val="00423968"/>
    <w:rsid w:val="00427054"/>
    <w:rsid w:val="004304B1"/>
    <w:rsid w:val="00432DA8"/>
    <w:rsid w:val="0043320A"/>
    <w:rsid w:val="004332E3"/>
    <w:rsid w:val="004371A3"/>
    <w:rsid w:val="0043722B"/>
    <w:rsid w:val="004403A1"/>
    <w:rsid w:val="00444591"/>
    <w:rsid w:val="00446960"/>
    <w:rsid w:val="00446F37"/>
    <w:rsid w:val="004518A6"/>
    <w:rsid w:val="00453E1D"/>
    <w:rsid w:val="00454162"/>
    <w:rsid w:val="00454589"/>
    <w:rsid w:val="00456ED0"/>
    <w:rsid w:val="00457550"/>
    <w:rsid w:val="00457B74"/>
    <w:rsid w:val="00461B2A"/>
    <w:rsid w:val="004620A4"/>
    <w:rsid w:val="00463875"/>
    <w:rsid w:val="004708E1"/>
    <w:rsid w:val="00472FB5"/>
    <w:rsid w:val="00474C50"/>
    <w:rsid w:val="00474F41"/>
    <w:rsid w:val="004771F9"/>
    <w:rsid w:val="0047743C"/>
    <w:rsid w:val="00486006"/>
    <w:rsid w:val="00486BAD"/>
    <w:rsid w:val="00486BBE"/>
    <w:rsid w:val="00487123"/>
    <w:rsid w:val="00495A75"/>
    <w:rsid w:val="00495CAE"/>
    <w:rsid w:val="004A1703"/>
    <w:rsid w:val="004A1BD5"/>
    <w:rsid w:val="004A469E"/>
    <w:rsid w:val="004A61E1"/>
    <w:rsid w:val="004A7EF6"/>
    <w:rsid w:val="004B0DAC"/>
    <w:rsid w:val="004B2344"/>
    <w:rsid w:val="004B2798"/>
    <w:rsid w:val="004B5DDC"/>
    <w:rsid w:val="004B798E"/>
    <w:rsid w:val="004C2ABD"/>
    <w:rsid w:val="004C5F62"/>
    <w:rsid w:val="004D3E58"/>
    <w:rsid w:val="004D6746"/>
    <w:rsid w:val="004D767B"/>
    <w:rsid w:val="004E0538"/>
    <w:rsid w:val="004E0F32"/>
    <w:rsid w:val="004E23A1"/>
    <w:rsid w:val="004E23EA"/>
    <w:rsid w:val="004E26C7"/>
    <w:rsid w:val="004E493C"/>
    <w:rsid w:val="004E623E"/>
    <w:rsid w:val="004E7092"/>
    <w:rsid w:val="004E7ECE"/>
    <w:rsid w:val="004F4DB1"/>
    <w:rsid w:val="004F6F64"/>
    <w:rsid w:val="005004EC"/>
    <w:rsid w:val="00501951"/>
    <w:rsid w:val="00506AAE"/>
    <w:rsid w:val="005108BB"/>
    <w:rsid w:val="00517756"/>
    <w:rsid w:val="005202C6"/>
    <w:rsid w:val="00523C53"/>
    <w:rsid w:val="00527B8F"/>
    <w:rsid w:val="00530C00"/>
    <w:rsid w:val="0053740A"/>
    <w:rsid w:val="005377F5"/>
    <w:rsid w:val="00542012"/>
    <w:rsid w:val="00543DF5"/>
    <w:rsid w:val="00544C06"/>
    <w:rsid w:val="00545A61"/>
    <w:rsid w:val="005508AA"/>
    <w:rsid w:val="0055260D"/>
    <w:rsid w:val="00552AC2"/>
    <w:rsid w:val="00555422"/>
    <w:rsid w:val="00555810"/>
    <w:rsid w:val="00562DCA"/>
    <w:rsid w:val="005633F0"/>
    <w:rsid w:val="0056568F"/>
    <w:rsid w:val="005678E6"/>
    <w:rsid w:val="00567EDA"/>
    <w:rsid w:val="0057436C"/>
    <w:rsid w:val="00575DE3"/>
    <w:rsid w:val="005822FD"/>
    <w:rsid w:val="00582578"/>
    <w:rsid w:val="00585194"/>
    <w:rsid w:val="0058621D"/>
    <w:rsid w:val="00590B72"/>
    <w:rsid w:val="00592420"/>
    <w:rsid w:val="00597DE9"/>
    <w:rsid w:val="00597FED"/>
    <w:rsid w:val="005A4CBE"/>
    <w:rsid w:val="005B04A8"/>
    <w:rsid w:val="005B1353"/>
    <w:rsid w:val="005B1FD0"/>
    <w:rsid w:val="005B28AD"/>
    <w:rsid w:val="005B328D"/>
    <w:rsid w:val="005B3503"/>
    <w:rsid w:val="005B3EE7"/>
    <w:rsid w:val="005B42CE"/>
    <w:rsid w:val="005B4DCD"/>
    <w:rsid w:val="005B4FAD"/>
    <w:rsid w:val="005B5327"/>
    <w:rsid w:val="005B5BF9"/>
    <w:rsid w:val="005B78F5"/>
    <w:rsid w:val="005C276A"/>
    <w:rsid w:val="005D380C"/>
    <w:rsid w:val="005D63C3"/>
    <w:rsid w:val="005D6E04"/>
    <w:rsid w:val="005D7A12"/>
    <w:rsid w:val="005E22AA"/>
    <w:rsid w:val="005E53EE"/>
    <w:rsid w:val="005E6949"/>
    <w:rsid w:val="005F0542"/>
    <w:rsid w:val="005F0F72"/>
    <w:rsid w:val="005F1C1F"/>
    <w:rsid w:val="005F346D"/>
    <w:rsid w:val="005F38FB"/>
    <w:rsid w:val="00602AB7"/>
    <w:rsid w:val="00602D3B"/>
    <w:rsid w:val="0060326F"/>
    <w:rsid w:val="00606794"/>
    <w:rsid w:val="00606EA1"/>
    <w:rsid w:val="006128F0"/>
    <w:rsid w:val="00613BDB"/>
    <w:rsid w:val="0061726B"/>
    <w:rsid w:val="00617B81"/>
    <w:rsid w:val="0062387A"/>
    <w:rsid w:val="006267FB"/>
    <w:rsid w:val="0063004C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927"/>
    <w:rsid w:val="00654E13"/>
    <w:rsid w:val="00663063"/>
    <w:rsid w:val="00665E60"/>
    <w:rsid w:val="00666CDA"/>
    <w:rsid w:val="00667489"/>
    <w:rsid w:val="00670D44"/>
    <w:rsid w:val="006735EE"/>
    <w:rsid w:val="00673F4C"/>
    <w:rsid w:val="00676AFC"/>
    <w:rsid w:val="0067760F"/>
    <w:rsid w:val="0067780B"/>
    <w:rsid w:val="006807CD"/>
    <w:rsid w:val="00682D43"/>
    <w:rsid w:val="0068507D"/>
    <w:rsid w:val="006854F5"/>
    <w:rsid w:val="00685BAF"/>
    <w:rsid w:val="00690463"/>
    <w:rsid w:val="00690F2B"/>
    <w:rsid w:val="006A0D03"/>
    <w:rsid w:val="006A14B3"/>
    <w:rsid w:val="006A41E9"/>
    <w:rsid w:val="006B12CB"/>
    <w:rsid w:val="006B2BF7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6F5076"/>
    <w:rsid w:val="006F741A"/>
    <w:rsid w:val="0070401D"/>
    <w:rsid w:val="00705EAF"/>
    <w:rsid w:val="007062F9"/>
    <w:rsid w:val="0070773E"/>
    <w:rsid w:val="007101CC"/>
    <w:rsid w:val="00715C55"/>
    <w:rsid w:val="007237C7"/>
    <w:rsid w:val="00724E3B"/>
    <w:rsid w:val="00725BF4"/>
    <w:rsid w:val="00725EEA"/>
    <w:rsid w:val="007276B6"/>
    <w:rsid w:val="00730CE9"/>
    <w:rsid w:val="0073373D"/>
    <w:rsid w:val="007357F6"/>
    <w:rsid w:val="0074263C"/>
    <w:rsid w:val="007439DB"/>
    <w:rsid w:val="00743F4F"/>
    <w:rsid w:val="007568D8"/>
    <w:rsid w:val="007621B5"/>
    <w:rsid w:val="007639B9"/>
    <w:rsid w:val="00765316"/>
    <w:rsid w:val="007708C8"/>
    <w:rsid w:val="00775BFF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A4F11"/>
    <w:rsid w:val="007A52D6"/>
    <w:rsid w:val="007B00E5"/>
    <w:rsid w:val="007B20CF"/>
    <w:rsid w:val="007B2499"/>
    <w:rsid w:val="007B72E1"/>
    <w:rsid w:val="007B783A"/>
    <w:rsid w:val="007C0EF8"/>
    <w:rsid w:val="007C1B95"/>
    <w:rsid w:val="007C378F"/>
    <w:rsid w:val="007C3DF3"/>
    <w:rsid w:val="007C48FB"/>
    <w:rsid w:val="007C5F3A"/>
    <w:rsid w:val="007C796D"/>
    <w:rsid w:val="007D27F9"/>
    <w:rsid w:val="007D3B60"/>
    <w:rsid w:val="007D4796"/>
    <w:rsid w:val="007D73FB"/>
    <w:rsid w:val="007D7996"/>
    <w:rsid w:val="007E2F2D"/>
    <w:rsid w:val="007F1375"/>
    <w:rsid w:val="007F1433"/>
    <w:rsid w:val="007F1491"/>
    <w:rsid w:val="007F2F03"/>
    <w:rsid w:val="00800FE0"/>
    <w:rsid w:val="008055EC"/>
    <w:rsid w:val="008066AD"/>
    <w:rsid w:val="00810490"/>
    <w:rsid w:val="00811F0C"/>
    <w:rsid w:val="00813740"/>
    <w:rsid w:val="00814AF1"/>
    <w:rsid w:val="0081517F"/>
    <w:rsid w:val="00815370"/>
    <w:rsid w:val="0082153D"/>
    <w:rsid w:val="008226A3"/>
    <w:rsid w:val="008255AA"/>
    <w:rsid w:val="00827B33"/>
    <w:rsid w:val="00830FF3"/>
    <w:rsid w:val="0083161A"/>
    <w:rsid w:val="008334BF"/>
    <w:rsid w:val="008345C7"/>
    <w:rsid w:val="00836932"/>
    <w:rsid w:val="00836B8C"/>
    <w:rsid w:val="00840062"/>
    <w:rsid w:val="008410C5"/>
    <w:rsid w:val="00845B0A"/>
    <w:rsid w:val="00846931"/>
    <w:rsid w:val="00846AC9"/>
    <w:rsid w:val="00846C08"/>
    <w:rsid w:val="008530E7"/>
    <w:rsid w:val="00856A55"/>
    <w:rsid w:val="00856BDB"/>
    <w:rsid w:val="00857675"/>
    <w:rsid w:val="00860AC2"/>
    <w:rsid w:val="00866F8B"/>
    <w:rsid w:val="00870526"/>
    <w:rsid w:val="00871AE0"/>
    <w:rsid w:val="00872C48"/>
    <w:rsid w:val="00875EC3"/>
    <w:rsid w:val="008763E7"/>
    <w:rsid w:val="00877CEA"/>
    <w:rsid w:val="008808C5"/>
    <w:rsid w:val="00881A7C"/>
    <w:rsid w:val="00883C78"/>
    <w:rsid w:val="00885159"/>
    <w:rsid w:val="00885214"/>
    <w:rsid w:val="00887615"/>
    <w:rsid w:val="00890052"/>
    <w:rsid w:val="00894E3A"/>
    <w:rsid w:val="008953A9"/>
    <w:rsid w:val="00895A2F"/>
    <w:rsid w:val="00896EBD"/>
    <w:rsid w:val="008A5665"/>
    <w:rsid w:val="008A727A"/>
    <w:rsid w:val="008B24A8"/>
    <w:rsid w:val="008B25E4"/>
    <w:rsid w:val="008B3D78"/>
    <w:rsid w:val="008C261B"/>
    <w:rsid w:val="008C4FCA"/>
    <w:rsid w:val="008C7882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F09C7"/>
    <w:rsid w:val="008F4DEF"/>
    <w:rsid w:val="00903D0D"/>
    <w:rsid w:val="009048E1"/>
    <w:rsid w:val="00904DC4"/>
    <w:rsid w:val="0090598C"/>
    <w:rsid w:val="009071BB"/>
    <w:rsid w:val="00912231"/>
    <w:rsid w:val="0091335F"/>
    <w:rsid w:val="00913885"/>
    <w:rsid w:val="00915ABF"/>
    <w:rsid w:val="00921CAD"/>
    <w:rsid w:val="0092666D"/>
    <w:rsid w:val="00926C69"/>
    <w:rsid w:val="009278F3"/>
    <w:rsid w:val="00927BA7"/>
    <w:rsid w:val="009311ED"/>
    <w:rsid w:val="00931D41"/>
    <w:rsid w:val="00933D18"/>
    <w:rsid w:val="0093401B"/>
    <w:rsid w:val="0094146E"/>
    <w:rsid w:val="00942221"/>
    <w:rsid w:val="009450B5"/>
    <w:rsid w:val="00950FBB"/>
    <w:rsid w:val="00951118"/>
    <w:rsid w:val="0095122F"/>
    <w:rsid w:val="00953349"/>
    <w:rsid w:val="00953E4C"/>
    <w:rsid w:val="00954E0C"/>
    <w:rsid w:val="00961156"/>
    <w:rsid w:val="00964C3B"/>
    <w:rsid w:val="00964F03"/>
    <w:rsid w:val="00964F6D"/>
    <w:rsid w:val="009661A0"/>
    <w:rsid w:val="00966F1F"/>
    <w:rsid w:val="00975676"/>
    <w:rsid w:val="00976467"/>
    <w:rsid w:val="00976D32"/>
    <w:rsid w:val="00981828"/>
    <w:rsid w:val="009844F7"/>
    <w:rsid w:val="00991C16"/>
    <w:rsid w:val="009938F7"/>
    <w:rsid w:val="00995A7D"/>
    <w:rsid w:val="00995C39"/>
    <w:rsid w:val="00997407"/>
    <w:rsid w:val="009A05AA"/>
    <w:rsid w:val="009A2D5A"/>
    <w:rsid w:val="009A6509"/>
    <w:rsid w:val="009A6E2F"/>
    <w:rsid w:val="009A7DDF"/>
    <w:rsid w:val="009B1C91"/>
    <w:rsid w:val="009B2969"/>
    <w:rsid w:val="009B2C7E"/>
    <w:rsid w:val="009B624C"/>
    <w:rsid w:val="009B6DBD"/>
    <w:rsid w:val="009B79B3"/>
    <w:rsid w:val="009C0ABE"/>
    <w:rsid w:val="009C108A"/>
    <w:rsid w:val="009C2E47"/>
    <w:rsid w:val="009C30D1"/>
    <w:rsid w:val="009C6BFB"/>
    <w:rsid w:val="009D0C05"/>
    <w:rsid w:val="009D1254"/>
    <w:rsid w:val="009D49A6"/>
    <w:rsid w:val="009E1DCF"/>
    <w:rsid w:val="009E2C00"/>
    <w:rsid w:val="009E49AD"/>
    <w:rsid w:val="009E4CC5"/>
    <w:rsid w:val="009E70F4"/>
    <w:rsid w:val="009E72A3"/>
    <w:rsid w:val="009F1AD2"/>
    <w:rsid w:val="009F4D15"/>
    <w:rsid w:val="00A00C78"/>
    <w:rsid w:val="00A00E1A"/>
    <w:rsid w:val="00A03A20"/>
    <w:rsid w:val="00A0479E"/>
    <w:rsid w:val="00A05914"/>
    <w:rsid w:val="00A07979"/>
    <w:rsid w:val="00A1064D"/>
    <w:rsid w:val="00A11755"/>
    <w:rsid w:val="00A14CF3"/>
    <w:rsid w:val="00A207FB"/>
    <w:rsid w:val="00A24016"/>
    <w:rsid w:val="00A25EA4"/>
    <w:rsid w:val="00A265BF"/>
    <w:rsid w:val="00A26F44"/>
    <w:rsid w:val="00A34FAB"/>
    <w:rsid w:val="00A35670"/>
    <w:rsid w:val="00A35A62"/>
    <w:rsid w:val="00A36196"/>
    <w:rsid w:val="00A3705F"/>
    <w:rsid w:val="00A408C3"/>
    <w:rsid w:val="00A417DD"/>
    <w:rsid w:val="00A42C43"/>
    <w:rsid w:val="00A4313D"/>
    <w:rsid w:val="00A50120"/>
    <w:rsid w:val="00A508EE"/>
    <w:rsid w:val="00A60351"/>
    <w:rsid w:val="00A61C6D"/>
    <w:rsid w:val="00A63015"/>
    <w:rsid w:val="00A6387B"/>
    <w:rsid w:val="00A66254"/>
    <w:rsid w:val="00A678B4"/>
    <w:rsid w:val="00A704A3"/>
    <w:rsid w:val="00A75B94"/>
    <w:rsid w:val="00A75BAD"/>
    <w:rsid w:val="00A75E23"/>
    <w:rsid w:val="00A82AA0"/>
    <w:rsid w:val="00A82F8A"/>
    <w:rsid w:val="00A84622"/>
    <w:rsid w:val="00A84BF0"/>
    <w:rsid w:val="00A9226B"/>
    <w:rsid w:val="00A9575C"/>
    <w:rsid w:val="00A95B56"/>
    <w:rsid w:val="00A95E81"/>
    <w:rsid w:val="00A969AF"/>
    <w:rsid w:val="00AA3FAD"/>
    <w:rsid w:val="00AB1A2E"/>
    <w:rsid w:val="00AB2AF8"/>
    <w:rsid w:val="00AB328A"/>
    <w:rsid w:val="00AB4918"/>
    <w:rsid w:val="00AB4BC8"/>
    <w:rsid w:val="00AB6BA7"/>
    <w:rsid w:val="00AB7BE8"/>
    <w:rsid w:val="00AD0710"/>
    <w:rsid w:val="00AD0EBF"/>
    <w:rsid w:val="00AD4DB9"/>
    <w:rsid w:val="00AD6165"/>
    <w:rsid w:val="00AD63C0"/>
    <w:rsid w:val="00AE35B2"/>
    <w:rsid w:val="00AE4B66"/>
    <w:rsid w:val="00AE6AA0"/>
    <w:rsid w:val="00AF7B1E"/>
    <w:rsid w:val="00B06E9C"/>
    <w:rsid w:val="00B113B9"/>
    <w:rsid w:val="00B119A2"/>
    <w:rsid w:val="00B11B28"/>
    <w:rsid w:val="00B11CF4"/>
    <w:rsid w:val="00B130A4"/>
    <w:rsid w:val="00B177F2"/>
    <w:rsid w:val="00B201F1"/>
    <w:rsid w:val="00B22559"/>
    <w:rsid w:val="00B2603F"/>
    <w:rsid w:val="00B302B7"/>
    <w:rsid w:val="00B304E7"/>
    <w:rsid w:val="00B318B6"/>
    <w:rsid w:val="00B33D97"/>
    <w:rsid w:val="00B3499B"/>
    <w:rsid w:val="00B36CBB"/>
    <w:rsid w:val="00B41F47"/>
    <w:rsid w:val="00B44468"/>
    <w:rsid w:val="00B47E9F"/>
    <w:rsid w:val="00B53765"/>
    <w:rsid w:val="00B60AC9"/>
    <w:rsid w:val="00B631DE"/>
    <w:rsid w:val="00B67323"/>
    <w:rsid w:val="00B715F2"/>
    <w:rsid w:val="00B72BA2"/>
    <w:rsid w:val="00B74071"/>
    <w:rsid w:val="00B7412C"/>
    <w:rsid w:val="00B7428E"/>
    <w:rsid w:val="00B74B67"/>
    <w:rsid w:val="00B7767B"/>
    <w:rsid w:val="00B778EB"/>
    <w:rsid w:val="00B779AA"/>
    <w:rsid w:val="00B81C95"/>
    <w:rsid w:val="00B82330"/>
    <w:rsid w:val="00B82ED4"/>
    <w:rsid w:val="00B8424F"/>
    <w:rsid w:val="00B86896"/>
    <w:rsid w:val="00B875A6"/>
    <w:rsid w:val="00B91C0B"/>
    <w:rsid w:val="00B93E4C"/>
    <w:rsid w:val="00B94A1B"/>
    <w:rsid w:val="00B978DF"/>
    <w:rsid w:val="00BA159A"/>
    <w:rsid w:val="00BA1C05"/>
    <w:rsid w:val="00BA5C89"/>
    <w:rsid w:val="00BB04EB"/>
    <w:rsid w:val="00BB2539"/>
    <w:rsid w:val="00BB4CE2"/>
    <w:rsid w:val="00BB5EF0"/>
    <w:rsid w:val="00BB6724"/>
    <w:rsid w:val="00BC0EFB"/>
    <w:rsid w:val="00BC2211"/>
    <w:rsid w:val="00BC25AD"/>
    <w:rsid w:val="00BC2E39"/>
    <w:rsid w:val="00BC413F"/>
    <w:rsid w:val="00BC6091"/>
    <w:rsid w:val="00BD2364"/>
    <w:rsid w:val="00BD28E3"/>
    <w:rsid w:val="00BD6F54"/>
    <w:rsid w:val="00BE117E"/>
    <w:rsid w:val="00BE238C"/>
    <w:rsid w:val="00BE3261"/>
    <w:rsid w:val="00BE334C"/>
    <w:rsid w:val="00BF00EF"/>
    <w:rsid w:val="00BF58FC"/>
    <w:rsid w:val="00C01B97"/>
    <w:rsid w:val="00C01F77"/>
    <w:rsid w:val="00C01FFC"/>
    <w:rsid w:val="00C05321"/>
    <w:rsid w:val="00C05D40"/>
    <w:rsid w:val="00C06AE4"/>
    <w:rsid w:val="00C114FF"/>
    <w:rsid w:val="00C11D49"/>
    <w:rsid w:val="00C11EA9"/>
    <w:rsid w:val="00C1449D"/>
    <w:rsid w:val="00C171A1"/>
    <w:rsid w:val="00C171A4"/>
    <w:rsid w:val="00C17F12"/>
    <w:rsid w:val="00C20734"/>
    <w:rsid w:val="00C213A4"/>
    <w:rsid w:val="00C21ACF"/>
    <w:rsid w:val="00C21C1A"/>
    <w:rsid w:val="00C237E9"/>
    <w:rsid w:val="00C2434A"/>
    <w:rsid w:val="00C26290"/>
    <w:rsid w:val="00C32989"/>
    <w:rsid w:val="00C34BA7"/>
    <w:rsid w:val="00C359F0"/>
    <w:rsid w:val="00C36883"/>
    <w:rsid w:val="00C40928"/>
    <w:rsid w:val="00C40CFF"/>
    <w:rsid w:val="00C42697"/>
    <w:rsid w:val="00C43F01"/>
    <w:rsid w:val="00C47552"/>
    <w:rsid w:val="00C57A81"/>
    <w:rsid w:val="00C60193"/>
    <w:rsid w:val="00C634D4"/>
    <w:rsid w:val="00C63AA5"/>
    <w:rsid w:val="00C65071"/>
    <w:rsid w:val="00C6727C"/>
    <w:rsid w:val="00C6744C"/>
    <w:rsid w:val="00C71064"/>
    <w:rsid w:val="00C73134"/>
    <w:rsid w:val="00C73F6D"/>
    <w:rsid w:val="00C74F6E"/>
    <w:rsid w:val="00C775B8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3C62"/>
    <w:rsid w:val="00C959E7"/>
    <w:rsid w:val="00C95F42"/>
    <w:rsid w:val="00CB680E"/>
    <w:rsid w:val="00CC1E65"/>
    <w:rsid w:val="00CC567A"/>
    <w:rsid w:val="00CC71F2"/>
    <w:rsid w:val="00CC7C87"/>
    <w:rsid w:val="00CD4059"/>
    <w:rsid w:val="00CD4E5A"/>
    <w:rsid w:val="00CD6AFD"/>
    <w:rsid w:val="00CD7F42"/>
    <w:rsid w:val="00CE03CE"/>
    <w:rsid w:val="00CE0F5D"/>
    <w:rsid w:val="00CE1A6A"/>
    <w:rsid w:val="00CE522A"/>
    <w:rsid w:val="00CF0DFF"/>
    <w:rsid w:val="00D028A9"/>
    <w:rsid w:val="00D0359D"/>
    <w:rsid w:val="00D04DED"/>
    <w:rsid w:val="00D0616C"/>
    <w:rsid w:val="00D1089A"/>
    <w:rsid w:val="00D116BD"/>
    <w:rsid w:val="00D14811"/>
    <w:rsid w:val="00D15B21"/>
    <w:rsid w:val="00D2001A"/>
    <w:rsid w:val="00D20684"/>
    <w:rsid w:val="00D213CC"/>
    <w:rsid w:val="00D26B62"/>
    <w:rsid w:val="00D274AE"/>
    <w:rsid w:val="00D32624"/>
    <w:rsid w:val="00D3594B"/>
    <w:rsid w:val="00D3691A"/>
    <w:rsid w:val="00D377E2"/>
    <w:rsid w:val="00D42565"/>
    <w:rsid w:val="00D42DCB"/>
    <w:rsid w:val="00D45482"/>
    <w:rsid w:val="00D46DF2"/>
    <w:rsid w:val="00D47674"/>
    <w:rsid w:val="00D5059C"/>
    <w:rsid w:val="00D52537"/>
    <w:rsid w:val="00D5338C"/>
    <w:rsid w:val="00D606B2"/>
    <w:rsid w:val="00D625A7"/>
    <w:rsid w:val="00D64074"/>
    <w:rsid w:val="00D65777"/>
    <w:rsid w:val="00D66586"/>
    <w:rsid w:val="00D728A0"/>
    <w:rsid w:val="00D75DD6"/>
    <w:rsid w:val="00D81035"/>
    <w:rsid w:val="00D83661"/>
    <w:rsid w:val="00D95C60"/>
    <w:rsid w:val="00D970B3"/>
    <w:rsid w:val="00D97E7D"/>
    <w:rsid w:val="00DA515C"/>
    <w:rsid w:val="00DB20E5"/>
    <w:rsid w:val="00DB21A4"/>
    <w:rsid w:val="00DB3439"/>
    <w:rsid w:val="00DB3618"/>
    <w:rsid w:val="00DB38D0"/>
    <w:rsid w:val="00DB468A"/>
    <w:rsid w:val="00DC2946"/>
    <w:rsid w:val="00DC550F"/>
    <w:rsid w:val="00DC6087"/>
    <w:rsid w:val="00DC64FD"/>
    <w:rsid w:val="00DD53C3"/>
    <w:rsid w:val="00DD6D15"/>
    <w:rsid w:val="00DE127F"/>
    <w:rsid w:val="00DE424A"/>
    <w:rsid w:val="00DE4419"/>
    <w:rsid w:val="00DE67C4"/>
    <w:rsid w:val="00DF0ACA"/>
    <w:rsid w:val="00DF189A"/>
    <w:rsid w:val="00DF2245"/>
    <w:rsid w:val="00DF4CE9"/>
    <w:rsid w:val="00DF6E5C"/>
    <w:rsid w:val="00DF77CF"/>
    <w:rsid w:val="00E019DC"/>
    <w:rsid w:val="00E026E8"/>
    <w:rsid w:val="00E039EA"/>
    <w:rsid w:val="00E060F7"/>
    <w:rsid w:val="00E14C47"/>
    <w:rsid w:val="00E22698"/>
    <w:rsid w:val="00E25B7C"/>
    <w:rsid w:val="00E3076B"/>
    <w:rsid w:val="00E33224"/>
    <w:rsid w:val="00E34CED"/>
    <w:rsid w:val="00E3725B"/>
    <w:rsid w:val="00E434D1"/>
    <w:rsid w:val="00E512F7"/>
    <w:rsid w:val="00E5537C"/>
    <w:rsid w:val="00E56CBB"/>
    <w:rsid w:val="00E6096F"/>
    <w:rsid w:val="00E61950"/>
    <w:rsid w:val="00E61E51"/>
    <w:rsid w:val="00E6552A"/>
    <w:rsid w:val="00E6707D"/>
    <w:rsid w:val="00E70337"/>
    <w:rsid w:val="00E70E7C"/>
    <w:rsid w:val="00E71313"/>
    <w:rsid w:val="00E72606"/>
    <w:rsid w:val="00E73C3E"/>
    <w:rsid w:val="00E74050"/>
    <w:rsid w:val="00E745AC"/>
    <w:rsid w:val="00E75BB6"/>
    <w:rsid w:val="00E76BE0"/>
    <w:rsid w:val="00E82496"/>
    <w:rsid w:val="00E834CD"/>
    <w:rsid w:val="00E836A8"/>
    <w:rsid w:val="00E846DC"/>
    <w:rsid w:val="00E84E9D"/>
    <w:rsid w:val="00E86CEE"/>
    <w:rsid w:val="00E935AF"/>
    <w:rsid w:val="00E94CB2"/>
    <w:rsid w:val="00E95993"/>
    <w:rsid w:val="00EA1ACC"/>
    <w:rsid w:val="00EB0E20"/>
    <w:rsid w:val="00EB1A80"/>
    <w:rsid w:val="00EB457B"/>
    <w:rsid w:val="00EC1AD8"/>
    <w:rsid w:val="00EC47C4"/>
    <w:rsid w:val="00EC4F3A"/>
    <w:rsid w:val="00EC5E74"/>
    <w:rsid w:val="00ED30C8"/>
    <w:rsid w:val="00ED5527"/>
    <w:rsid w:val="00ED594D"/>
    <w:rsid w:val="00ED72D4"/>
    <w:rsid w:val="00EE36E1"/>
    <w:rsid w:val="00EE6228"/>
    <w:rsid w:val="00EE7AC7"/>
    <w:rsid w:val="00EE7B3F"/>
    <w:rsid w:val="00EF3A8A"/>
    <w:rsid w:val="00F0054D"/>
    <w:rsid w:val="00F02467"/>
    <w:rsid w:val="00F04D0E"/>
    <w:rsid w:val="00F05541"/>
    <w:rsid w:val="00F05E15"/>
    <w:rsid w:val="00F12214"/>
    <w:rsid w:val="00F12565"/>
    <w:rsid w:val="00F1379F"/>
    <w:rsid w:val="00F144BE"/>
    <w:rsid w:val="00F14ACA"/>
    <w:rsid w:val="00F17A0C"/>
    <w:rsid w:val="00F23927"/>
    <w:rsid w:val="00F2396E"/>
    <w:rsid w:val="00F2652B"/>
    <w:rsid w:val="00F26A05"/>
    <w:rsid w:val="00F3073F"/>
    <w:rsid w:val="00F307CE"/>
    <w:rsid w:val="00F354C5"/>
    <w:rsid w:val="00F37108"/>
    <w:rsid w:val="00F40449"/>
    <w:rsid w:val="00F451C3"/>
    <w:rsid w:val="00F45B8E"/>
    <w:rsid w:val="00F47BAA"/>
    <w:rsid w:val="00F520FE"/>
    <w:rsid w:val="00F52EAB"/>
    <w:rsid w:val="00F5375B"/>
    <w:rsid w:val="00F54A53"/>
    <w:rsid w:val="00F55A04"/>
    <w:rsid w:val="00F61937"/>
    <w:rsid w:val="00F61A31"/>
    <w:rsid w:val="00F66F00"/>
    <w:rsid w:val="00F67A2D"/>
    <w:rsid w:val="00F70A1B"/>
    <w:rsid w:val="00F72FDF"/>
    <w:rsid w:val="00F75960"/>
    <w:rsid w:val="00F75BFC"/>
    <w:rsid w:val="00F765B9"/>
    <w:rsid w:val="00F76656"/>
    <w:rsid w:val="00F82526"/>
    <w:rsid w:val="00F84672"/>
    <w:rsid w:val="00F84802"/>
    <w:rsid w:val="00F84A82"/>
    <w:rsid w:val="00F85182"/>
    <w:rsid w:val="00F85BAF"/>
    <w:rsid w:val="00F90B01"/>
    <w:rsid w:val="00F95A8C"/>
    <w:rsid w:val="00F97CA8"/>
    <w:rsid w:val="00FA06FD"/>
    <w:rsid w:val="00FA4EE2"/>
    <w:rsid w:val="00FA515B"/>
    <w:rsid w:val="00FA6B90"/>
    <w:rsid w:val="00FA70F9"/>
    <w:rsid w:val="00FA74CB"/>
    <w:rsid w:val="00FA7785"/>
    <w:rsid w:val="00FB207A"/>
    <w:rsid w:val="00FB2886"/>
    <w:rsid w:val="00FB466E"/>
    <w:rsid w:val="00FB75F0"/>
    <w:rsid w:val="00FC02F3"/>
    <w:rsid w:val="00FC06F1"/>
    <w:rsid w:val="00FC752C"/>
    <w:rsid w:val="00FD0492"/>
    <w:rsid w:val="00FD13EC"/>
    <w:rsid w:val="00FD1E45"/>
    <w:rsid w:val="00FD3C07"/>
    <w:rsid w:val="00FD4DA8"/>
    <w:rsid w:val="00FD4EEF"/>
    <w:rsid w:val="00FD5461"/>
    <w:rsid w:val="00FD6BDB"/>
    <w:rsid w:val="00FD6F00"/>
    <w:rsid w:val="00FD7B98"/>
    <w:rsid w:val="00FE580A"/>
    <w:rsid w:val="00FF0F23"/>
    <w:rsid w:val="00FF18D2"/>
    <w:rsid w:val="00FF22F5"/>
    <w:rsid w:val="00FF351F"/>
    <w:rsid w:val="00FF4664"/>
    <w:rsid w:val="00FF6AFC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C011C"/>
  <w15:docId w15:val="{3EE38885-47A7-4CF4-A998-2E95522C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6196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en-GB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rsid w:val="00805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documents/template-form/qrd-appendix-i-adverse-event-phv-mss-reporting-details_en.doc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kvb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CE6B-CD43-476E-833A-58CF6892D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2051</Words>
  <Characters>12105</Characters>
  <Application>Microsoft Office Word</Application>
  <DocSecurity>0</DocSecurity>
  <Lines>100</Lines>
  <Paragraphs>28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QRD veterinary product-information  (English) template version 9.1</vt:lpstr>
    </vt:vector>
  </TitlesOfParts>
  <Company>vet-agro sp. z o.o.</Company>
  <LinksUpToDate>false</LinksUpToDate>
  <CharactersWithSpaces>14128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Langrová Lenka</dc:creator>
  <cp:lastModifiedBy>Neugebauerová Kateřina</cp:lastModifiedBy>
  <cp:revision>19</cp:revision>
  <cp:lastPrinted>2026-07-27T10:38:00Z</cp:lastPrinted>
  <dcterms:created xsi:type="dcterms:W3CDTF">2026-06-17T06:58:00Z</dcterms:created>
  <dcterms:modified xsi:type="dcterms:W3CDTF">2026-07-27T10:38:00Z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18/11/2024 12:28:04</vt:lpwstr>
  </property>
  <property fmtid="{D5CDD505-2E9C-101B-9397-08002B2CF9AE}" pid="6" name="DM_Creator_Name">
    <vt:lpwstr>Prizzi Monica</vt:lpwstr>
  </property>
  <property fmtid="{D5CDD505-2E9C-101B-9397-08002B2CF9AE}" pid="7" name="DM_DocRefId">
    <vt:lpwstr>EMA/166009/2024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EMA/166009/2024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>en_GB</vt:lpwstr>
  </property>
  <property fmtid="{D5CDD505-2E9C-101B-9397-08002B2CF9AE}" pid="32" name="DM_Modifer_Name">
    <vt:lpwstr>Prizzi Monica</vt:lpwstr>
  </property>
  <property fmtid="{D5CDD505-2E9C-101B-9397-08002B2CF9AE}" pid="33" name="DM_Modified_Date">
    <vt:lpwstr>18/11/2024 12:28:04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18/11/2024 12:28:04</vt:lpwstr>
  </property>
  <property fmtid="{D5CDD505-2E9C-101B-9397-08002B2CF9AE}" pid="36" name="DM_Name">
    <vt:lpwstr>QRD veterinary product-information  (English) template version 9.1</vt:lpwstr>
  </property>
  <property fmtid="{D5CDD505-2E9C-101B-9397-08002B2CF9AE}" pid="37" name="DM_Owner">
    <vt:lpwstr>Prizzi Monica</vt:lpwstr>
  </property>
  <property fmtid="{D5CDD505-2E9C-101B-9397-08002B2CF9AE}" pid="38" name="DM_Path">
    <vt:lpwstr>/14. Working areas/14.06 V-Division/01. V-Division Administration/02. V - Staff matters/Presentations/Svetoslav Branchev/QRD v.9.1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1.13,CURRENT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3e5f2a37-71ec-4b36-b1c9-74bef0f913c4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2024-05-11T12:05:17Z</vt:lpwstr>
  </property>
  <property fmtid="{D5CDD505-2E9C-101B-9397-08002B2CF9AE}" pid="72" name="MSIP_Label_0eea11ca-d417-4147-80ed-01a58412c458_SiteId">
    <vt:lpwstr>bc9dc15c-61bc-4f03-b60b-e5b6d8922839</vt:lpwstr>
  </property>
</Properties>
</file>