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00FAA369" w:rsidR="00C114FF" w:rsidRPr="00B41D57" w:rsidRDefault="00C67C77" w:rsidP="00F43996">
      <w:pPr>
        <w:pStyle w:val="Style3"/>
        <w:numPr>
          <w:ilvl w:val="0"/>
          <w:numId w:val="0"/>
        </w:numPr>
      </w:pPr>
      <w:r>
        <w:t xml:space="preserve">B. </w:t>
      </w:r>
      <w:r w:rsidR="00B276F7" w:rsidRPr="00B41D57">
        <w:t>PŘÍBALOVÁ INFORMACE</w:t>
      </w:r>
    </w:p>
    <w:p w14:paraId="43EC8B49" w14:textId="77777777" w:rsidR="00C114FF" w:rsidRPr="00B41D57" w:rsidRDefault="00B276F7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966F4F" w14:textId="044E5147" w:rsidR="00C21EAE" w:rsidRPr="00427192" w:rsidRDefault="009E54EA" w:rsidP="009E54EA">
      <w:pPr>
        <w:spacing w:line="240" w:lineRule="auto"/>
        <w:rPr>
          <w:szCs w:val="22"/>
        </w:rPr>
      </w:pPr>
      <w:r w:rsidRPr="00427192">
        <w:t xml:space="preserve">MILBETAB </w:t>
      </w:r>
      <w:r w:rsidR="00C21EAE">
        <w:t>1</w:t>
      </w:r>
      <w:r w:rsidRPr="00427192">
        <w:t>2,5 mg/</w:t>
      </w:r>
      <w:r w:rsidR="00C21EAE">
        <w:t>1</w:t>
      </w:r>
      <w:r w:rsidRPr="00427192">
        <w:t xml:space="preserve">25 mg </w:t>
      </w:r>
      <w:r w:rsidR="00C21EAE" w:rsidRPr="00C21EAE">
        <w:t>žvýkací tablety pro psy</w:t>
      </w:r>
    </w:p>
    <w:p w14:paraId="7B8457B0" w14:textId="4BBB4DD9" w:rsidR="00C114FF" w:rsidRPr="00B41D57" w:rsidRDefault="00C21EAE" w:rsidP="00C21EAE">
      <w:pPr>
        <w:spacing w:line="240" w:lineRule="auto"/>
        <w:rPr>
          <w:szCs w:val="22"/>
        </w:rPr>
      </w:pPr>
      <w:r w:rsidRPr="00C21EAE">
        <w:rPr>
          <w:szCs w:val="22"/>
        </w:rPr>
        <w:t>MILBETAB 2,5 mg/25 mg žvýkací</w:t>
      </w:r>
      <w:r>
        <w:rPr>
          <w:szCs w:val="22"/>
        </w:rPr>
        <w:t xml:space="preserve"> </w:t>
      </w:r>
      <w:r w:rsidRPr="00C21EAE">
        <w:rPr>
          <w:szCs w:val="22"/>
        </w:rPr>
        <w:t>tablety pro malé psy a štěňata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BA267E6" w14:textId="62937094" w:rsidR="00C21EAE" w:rsidRPr="002673C0" w:rsidRDefault="002673C0" w:rsidP="00C21EA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2673C0">
        <w:rPr>
          <w:szCs w:val="22"/>
          <w:lang w:eastAsia="en-GB"/>
        </w:rPr>
        <w:t>Produkty jsou k dispozici ve 2 různých velikostech</w:t>
      </w:r>
      <w:r w:rsidR="00C21EAE" w:rsidRPr="002673C0">
        <w:rPr>
          <w:szCs w:val="22"/>
          <w:lang w:eastAsia="en-GB"/>
        </w:rPr>
        <w:t>:</w:t>
      </w:r>
    </w:p>
    <w:p w14:paraId="5078E4DB" w14:textId="77777777" w:rsidR="00C21EAE" w:rsidRPr="002673C0" w:rsidRDefault="00C21EAE" w:rsidP="00C21EAE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67"/>
        <w:gridCol w:w="2262"/>
        <w:gridCol w:w="1732"/>
      </w:tblGrid>
      <w:tr w:rsidR="00C21EAE" w:rsidRPr="00C21EAE" w14:paraId="1C655B9E" w14:textId="77777777" w:rsidTr="000C2F54">
        <w:tc>
          <w:tcPr>
            <w:tcW w:w="5240" w:type="dxa"/>
          </w:tcPr>
          <w:p w14:paraId="48F07A9A" w14:textId="52773444" w:rsidR="00C21EAE" w:rsidRPr="00D34E75" w:rsidRDefault="00C21EAE" w:rsidP="00C21EAE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en-GB"/>
              </w:rPr>
            </w:pPr>
            <w:proofErr w:type="spellStart"/>
            <w:r w:rsidRPr="00D34E75">
              <w:rPr>
                <w:b/>
                <w:bCs/>
                <w:szCs w:val="22"/>
                <w:lang w:val="en-GB"/>
              </w:rPr>
              <w:t>Název</w:t>
            </w:r>
            <w:proofErr w:type="spellEnd"/>
          </w:p>
        </w:tc>
        <w:tc>
          <w:tcPr>
            <w:tcW w:w="2268" w:type="dxa"/>
          </w:tcPr>
          <w:p w14:paraId="70056E44" w14:textId="42290E13" w:rsidR="00C21EAE" w:rsidRPr="00D34E75" w:rsidRDefault="00C21EAE" w:rsidP="00C21EAE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en-GB"/>
              </w:rPr>
            </w:pPr>
            <w:proofErr w:type="spellStart"/>
            <w:r w:rsidRPr="00D34E75">
              <w:rPr>
                <w:b/>
                <w:bCs/>
                <w:szCs w:val="22"/>
                <w:lang w:val="en-GB"/>
              </w:rPr>
              <w:t>Milbemycinoxim</w:t>
            </w:r>
            <w:r w:rsidR="00732156">
              <w:rPr>
                <w:b/>
                <w:bCs/>
                <w:szCs w:val="22"/>
                <w:lang w:val="en-GB"/>
              </w:rPr>
              <w:t>um</w:t>
            </w:r>
            <w:proofErr w:type="spellEnd"/>
          </w:p>
          <w:p w14:paraId="4C9C4601" w14:textId="1BFCAFC2" w:rsidR="00C21EAE" w:rsidRPr="00D34E75" w:rsidRDefault="00411474" w:rsidP="00C21EAE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en-GB"/>
              </w:rPr>
            </w:pPr>
            <w:r>
              <w:rPr>
                <w:b/>
                <w:bCs/>
                <w:szCs w:val="22"/>
                <w:lang w:val="en-GB"/>
              </w:rPr>
              <w:t xml:space="preserve">v </w:t>
            </w:r>
            <w:proofErr w:type="spellStart"/>
            <w:r>
              <w:rPr>
                <w:b/>
                <w:bCs/>
                <w:szCs w:val="22"/>
                <w:lang w:val="en-GB"/>
              </w:rPr>
              <w:t>tabletě</w:t>
            </w:r>
            <w:proofErr w:type="spellEnd"/>
          </w:p>
        </w:tc>
        <w:tc>
          <w:tcPr>
            <w:tcW w:w="1553" w:type="dxa"/>
          </w:tcPr>
          <w:p w14:paraId="223668F6" w14:textId="0535E60C" w:rsidR="00C21EAE" w:rsidRPr="00D34E75" w:rsidRDefault="00732156" w:rsidP="00411474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val="en-GB"/>
              </w:rPr>
            </w:pPr>
            <w:proofErr w:type="spellStart"/>
            <w:r w:rsidRPr="00D34E75">
              <w:rPr>
                <w:b/>
                <w:bCs/>
                <w:szCs w:val="22"/>
                <w:lang w:val="en-GB"/>
              </w:rPr>
              <w:t>Prazi</w:t>
            </w:r>
            <w:r>
              <w:rPr>
                <w:b/>
                <w:bCs/>
                <w:szCs w:val="22"/>
                <w:lang w:val="en-GB"/>
              </w:rPr>
              <w:t>qu</w:t>
            </w:r>
            <w:r w:rsidRPr="00D34E75">
              <w:rPr>
                <w:b/>
                <w:bCs/>
                <w:szCs w:val="22"/>
                <w:lang w:val="en-GB"/>
              </w:rPr>
              <w:t>antel</w:t>
            </w:r>
            <w:r>
              <w:rPr>
                <w:b/>
                <w:bCs/>
                <w:szCs w:val="22"/>
                <w:lang w:val="en-GB"/>
              </w:rPr>
              <w:t>um</w:t>
            </w:r>
            <w:proofErr w:type="spellEnd"/>
            <w:r w:rsidRPr="00D34E75">
              <w:rPr>
                <w:b/>
                <w:bCs/>
                <w:szCs w:val="22"/>
                <w:lang w:val="en-GB"/>
              </w:rPr>
              <w:t xml:space="preserve"> </w:t>
            </w:r>
            <w:r w:rsidR="00411474">
              <w:rPr>
                <w:b/>
                <w:bCs/>
                <w:szCs w:val="22"/>
                <w:lang w:val="en-GB"/>
              </w:rPr>
              <w:t xml:space="preserve">v </w:t>
            </w:r>
            <w:proofErr w:type="spellStart"/>
            <w:r w:rsidR="00411474">
              <w:rPr>
                <w:b/>
                <w:bCs/>
                <w:szCs w:val="22"/>
                <w:lang w:val="en-GB"/>
              </w:rPr>
              <w:t>tabletě</w:t>
            </w:r>
            <w:proofErr w:type="spellEnd"/>
          </w:p>
        </w:tc>
      </w:tr>
      <w:tr w:rsidR="00C21EAE" w:rsidRPr="00C21EAE" w14:paraId="52159F6F" w14:textId="77777777" w:rsidTr="000C2F54">
        <w:trPr>
          <w:trHeight w:val="613"/>
        </w:trPr>
        <w:tc>
          <w:tcPr>
            <w:tcW w:w="5240" w:type="dxa"/>
          </w:tcPr>
          <w:p w14:paraId="7778835A" w14:textId="7FC70CC8" w:rsidR="00C21EAE" w:rsidRPr="007B306F" w:rsidRDefault="007B306F" w:rsidP="00C21EA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7B306F">
              <w:rPr>
                <w:szCs w:val="22"/>
              </w:rPr>
              <w:t>2,5 mg/25 mg žvýkací tablety pro malé psy a štěňata (ps</w:t>
            </w:r>
            <w:r w:rsidR="009D2089">
              <w:rPr>
                <w:szCs w:val="22"/>
              </w:rPr>
              <w:t>i</w:t>
            </w:r>
            <w:r w:rsidRPr="007B306F">
              <w:rPr>
                <w:szCs w:val="22"/>
              </w:rPr>
              <w:t xml:space="preserve"> 1-5 kg)</w:t>
            </w:r>
          </w:p>
        </w:tc>
        <w:tc>
          <w:tcPr>
            <w:tcW w:w="2268" w:type="dxa"/>
          </w:tcPr>
          <w:p w14:paraId="6554146C" w14:textId="1239EF05" w:rsidR="00C21EAE" w:rsidRPr="00C21EAE" w:rsidRDefault="00C21EAE" w:rsidP="00C21EA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C21EAE">
              <w:rPr>
                <w:szCs w:val="22"/>
                <w:lang w:val="en-GB"/>
              </w:rPr>
              <w:t>2</w:t>
            </w:r>
            <w:r>
              <w:rPr>
                <w:szCs w:val="22"/>
                <w:lang w:val="en-GB"/>
              </w:rPr>
              <w:t>,</w:t>
            </w:r>
            <w:r w:rsidRPr="00C21EAE">
              <w:rPr>
                <w:szCs w:val="22"/>
                <w:lang w:val="en-GB"/>
              </w:rPr>
              <w:t>5 mg</w:t>
            </w:r>
          </w:p>
        </w:tc>
        <w:tc>
          <w:tcPr>
            <w:tcW w:w="1553" w:type="dxa"/>
          </w:tcPr>
          <w:p w14:paraId="65A04F78" w14:textId="77777777" w:rsidR="00C21EAE" w:rsidRPr="00C21EAE" w:rsidRDefault="00C21EAE" w:rsidP="00C21EA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C21EAE">
              <w:rPr>
                <w:szCs w:val="22"/>
                <w:lang w:val="en-GB"/>
              </w:rPr>
              <w:t>25 mg</w:t>
            </w:r>
          </w:p>
        </w:tc>
      </w:tr>
      <w:tr w:rsidR="00C21EAE" w:rsidRPr="00C21EAE" w14:paraId="6E0FA099" w14:textId="77777777" w:rsidTr="000C2F54">
        <w:trPr>
          <w:trHeight w:val="380"/>
        </w:trPr>
        <w:tc>
          <w:tcPr>
            <w:tcW w:w="5240" w:type="dxa"/>
          </w:tcPr>
          <w:p w14:paraId="2292544C" w14:textId="12425E3A" w:rsidR="00C21EAE" w:rsidRPr="007B306F" w:rsidRDefault="007B306F" w:rsidP="00C21EA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B306F">
              <w:rPr>
                <w:szCs w:val="22"/>
                <w:lang w:eastAsia="en-GB"/>
              </w:rPr>
              <w:t>12,5 mg/125 mg žvýkací tablety pro psy (ps</w:t>
            </w:r>
            <w:r w:rsidR="009D2089">
              <w:rPr>
                <w:szCs w:val="22"/>
                <w:lang w:eastAsia="en-GB"/>
              </w:rPr>
              <w:t>i</w:t>
            </w:r>
            <w:r w:rsidRPr="007B306F">
              <w:rPr>
                <w:szCs w:val="22"/>
                <w:lang w:eastAsia="en-GB"/>
              </w:rPr>
              <w:t xml:space="preserve"> ≥ </w:t>
            </w:r>
            <w:proofErr w:type="gramStart"/>
            <w:r w:rsidRPr="007B306F">
              <w:rPr>
                <w:szCs w:val="22"/>
                <w:lang w:eastAsia="en-GB"/>
              </w:rPr>
              <w:t>5kg</w:t>
            </w:r>
            <w:proofErr w:type="gramEnd"/>
            <w:r w:rsidRPr="007B306F">
              <w:rPr>
                <w:szCs w:val="22"/>
                <w:lang w:eastAsia="en-GB"/>
              </w:rPr>
              <w:t>)</w:t>
            </w:r>
          </w:p>
        </w:tc>
        <w:tc>
          <w:tcPr>
            <w:tcW w:w="2268" w:type="dxa"/>
          </w:tcPr>
          <w:p w14:paraId="62B89B75" w14:textId="56D8BC07" w:rsidR="00C21EAE" w:rsidRPr="00C21EAE" w:rsidRDefault="00C21EAE" w:rsidP="00C21EA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C21EAE">
              <w:rPr>
                <w:szCs w:val="22"/>
                <w:lang w:val="en-GB"/>
              </w:rPr>
              <w:t>12</w:t>
            </w:r>
            <w:r>
              <w:rPr>
                <w:szCs w:val="22"/>
                <w:lang w:val="en-GB"/>
              </w:rPr>
              <w:t>,</w:t>
            </w:r>
            <w:r w:rsidRPr="00C21EAE">
              <w:rPr>
                <w:szCs w:val="22"/>
                <w:lang w:val="en-GB"/>
              </w:rPr>
              <w:t>5 mg</w:t>
            </w:r>
          </w:p>
        </w:tc>
        <w:tc>
          <w:tcPr>
            <w:tcW w:w="1553" w:type="dxa"/>
          </w:tcPr>
          <w:p w14:paraId="5F30CC04" w14:textId="77777777" w:rsidR="00C21EAE" w:rsidRPr="00C21EAE" w:rsidRDefault="00C21EAE" w:rsidP="00C21EA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en-GB"/>
              </w:rPr>
            </w:pPr>
            <w:r w:rsidRPr="00C21EAE">
              <w:rPr>
                <w:szCs w:val="22"/>
                <w:lang w:val="en-GB"/>
              </w:rPr>
              <w:t>125 mg</w:t>
            </w:r>
          </w:p>
        </w:tc>
      </w:tr>
    </w:tbl>
    <w:p w14:paraId="6891040B" w14:textId="77777777" w:rsidR="00C21EAE" w:rsidRPr="00C21EAE" w:rsidRDefault="00C21EAE" w:rsidP="00C21EAE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1E54FA95" w14:textId="7CC04135" w:rsidR="00C21EAE" w:rsidRPr="00C21EAE" w:rsidRDefault="00C21EAE" w:rsidP="00C21EAE">
      <w:pPr>
        <w:tabs>
          <w:tab w:val="clear" w:pos="567"/>
        </w:tabs>
        <w:spacing w:line="240" w:lineRule="auto"/>
        <w:rPr>
          <w:szCs w:val="22"/>
          <w:u w:val="single"/>
          <w:lang w:val="en-GB"/>
        </w:rPr>
      </w:pPr>
      <w:proofErr w:type="spellStart"/>
      <w:r w:rsidRPr="00C21EAE">
        <w:rPr>
          <w:szCs w:val="22"/>
          <w:u w:val="single"/>
          <w:lang w:val="en-GB"/>
        </w:rPr>
        <w:t>Pomocné</w:t>
      </w:r>
      <w:proofErr w:type="spellEnd"/>
      <w:r w:rsidRPr="00C21EAE">
        <w:rPr>
          <w:szCs w:val="22"/>
          <w:u w:val="single"/>
          <w:lang w:val="en-GB"/>
        </w:rPr>
        <w:t xml:space="preserve"> </w:t>
      </w:r>
      <w:proofErr w:type="spellStart"/>
      <w:r w:rsidRPr="00C21EAE">
        <w:rPr>
          <w:szCs w:val="22"/>
          <w:u w:val="single"/>
          <w:lang w:val="en-GB"/>
        </w:rPr>
        <w:t>látky</w:t>
      </w:r>
      <w:proofErr w:type="spellEnd"/>
      <w:r w:rsidRPr="00C21EAE">
        <w:rPr>
          <w:szCs w:val="22"/>
          <w:u w:val="single"/>
          <w:lang w:val="en-GB"/>
        </w:rPr>
        <w:t>:</w:t>
      </w:r>
    </w:p>
    <w:p w14:paraId="3D1DDEC6" w14:textId="77777777" w:rsidR="00C21EAE" w:rsidRPr="00C21EAE" w:rsidRDefault="00C21EAE" w:rsidP="00C21EAE">
      <w:pPr>
        <w:tabs>
          <w:tab w:val="clear" w:pos="567"/>
        </w:tabs>
        <w:spacing w:line="240" w:lineRule="auto"/>
        <w:rPr>
          <w:szCs w:val="22"/>
          <w:u w:val="single"/>
          <w:lang w:val="en-GB"/>
        </w:rPr>
      </w:pPr>
    </w:p>
    <w:p w14:paraId="7D0D1C56" w14:textId="3836B031" w:rsidR="00C21EAE" w:rsidRPr="00C21EAE" w:rsidRDefault="00C21EAE" w:rsidP="00C21EAE">
      <w:pPr>
        <w:tabs>
          <w:tab w:val="clear" w:pos="567"/>
        </w:tabs>
        <w:spacing w:line="240" w:lineRule="auto"/>
        <w:rPr>
          <w:szCs w:val="22"/>
          <w:lang w:val="pt-BR" w:eastAsia="en-GB"/>
        </w:rPr>
      </w:pPr>
      <w:r w:rsidRPr="00C21EAE">
        <w:rPr>
          <w:szCs w:val="22"/>
          <w:lang w:val="pt-BR" w:eastAsia="en-GB"/>
        </w:rPr>
        <w:t>Glycerol (E</w:t>
      </w:r>
      <w:r>
        <w:rPr>
          <w:szCs w:val="22"/>
          <w:lang w:val="pt-BR" w:eastAsia="en-GB"/>
        </w:rPr>
        <w:t xml:space="preserve"> </w:t>
      </w:r>
      <w:r w:rsidRPr="00C21EAE">
        <w:rPr>
          <w:szCs w:val="22"/>
          <w:lang w:val="pt-BR" w:eastAsia="en-GB"/>
        </w:rPr>
        <w:t>422), propylenglykol (E</w:t>
      </w:r>
      <w:r>
        <w:rPr>
          <w:szCs w:val="22"/>
          <w:lang w:val="pt-BR" w:eastAsia="en-GB"/>
        </w:rPr>
        <w:t xml:space="preserve"> </w:t>
      </w:r>
      <w:r w:rsidRPr="00C21EAE">
        <w:rPr>
          <w:szCs w:val="22"/>
          <w:lang w:val="pt-BR" w:eastAsia="en-GB"/>
        </w:rPr>
        <w:t>1520), oxid železitý, hnědý (E</w:t>
      </w:r>
      <w:r>
        <w:rPr>
          <w:szCs w:val="22"/>
          <w:lang w:val="pt-BR" w:eastAsia="en-GB"/>
        </w:rPr>
        <w:t xml:space="preserve"> </w:t>
      </w:r>
      <w:r w:rsidRPr="00C21EAE">
        <w:rPr>
          <w:szCs w:val="22"/>
          <w:lang w:val="pt-BR" w:eastAsia="en-GB"/>
        </w:rPr>
        <w:t>172), butylhydroxyanisol (E</w:t>
      </w:r>
      <w:r>
        <w:rPr>
          <w:szCs w:val="22"/>
          <w:lang w:val="pt-BR" w:eastAsia="en-GB"/>
        </w:rPr>
        <w:t xml:space="preserve"> </w:t>
      </w:r>
      <w:r w:rsidRPr="00C21EAE">
        <w:rPr>
          <w:szCs w:val="22"/>
          <w:lang w:val="pt-BR" w:eastAsia="en-GB"/>
        </w:rPr>
        <w:t>320),</w:t>
      </w:r>
    </w:p>
    <w:p w14:paraId="5C16319E" w14:textId="3FD4E5F5" w:rsidR="00C21EAE" w:rsidRPr="00C21EAE" w:rsidRDefault="00C21EAE" w:rsidP="00C21EAE">
      <w:pPr>
        <w:tabs>
          <w:tab w:val="clear" w:pos="567"/>
        </w:tabs>
        <w:spacing w:line="240" w:lineRule="auto"/>
        <w:rPr>
          <w:szCs w:val="22"/>
          <w:lang w:val="pt-BR" w:eastAsia="en-GB"/>
        </w:rPr>
      </w:pPr>
      <w:r w:rsidRPr="00C21EAE">
        <w:rPr>
          <w:szCs w:val="22"/>
          <w:lang w:val="pt-BR" w:eastAsia="en-GB"/>
        </w:rPr>
        <w:t>propyl-gallát (E</w:t>
      </w:r>
      <w:r>
        <w:rPr>
          <w:szCs w:val="22"/>
          <w:lang w:val="pt-BR" w:eastAsia="en-GB"/>
        </w:rPr>
        <w:t xml:space="preserve"> </w:t>
      </w:r>
      <w:r w:rsidRPr="00C21EAE">
        <w:rPr>
          <w:szCs w:val="22"/>
          <w:lang w:val="pt-BR" w:eastAsia="en-GB"/>
        </w:rPr>
        <w:t>310).</w:t>
      </w:r>
    </w:p>
    <w:p w14:paraId="7061888A" w14:textId="77777777" w:rsidR="00C21EAE" w:rsidRPr="002673C0" w:rsidRDefault="00C21EAE" w:rsidP="00C21EAE">
      <w:pPr>
        <w:tabs>
          <w:tab w:val="clear" w:pos="567"/>
        </w:tabs>
        <w:spacing w:line="240" w:lineRule="auto"/>
        <w:rPr>
          <w:sz w:val="24"/>
          <w:szCs w:val="24"/>
          <w:lang w:val="pt-BR" w:eastAsia="en-GB"/>
        </w:rPr>
      </w:pPr>
    </w:p>
    <w:p w14:paraId="5A7A5FC6" w14:textId="519B2527" w:rsidR="00C21EAE" w:rsidRPr="002673C0" w:rsidRDefault="00C21EAE" w:rsidP="00C21EAE">
      <w:pPr>
        <w:tabs>
          <w:tab w:val="clear" w:pos="567"/>
        </w:tabs>
        <w:spacing w:line="240" w:lineRule="auto"/>
        <w:rPr>
          <w:sz w:val="24"/>
          <w:szCs w:val="24"/>
          <w:lang w:val="pt-BR" w:eastAsia="en-GB"/>
        </w:rPr>
      </w:pPr>
      <w:r w:rsidRPr="002673C0">
        <w:rPr>
          <w:sz w:val="24"/>
          <w:szCs w:val="24"/>
          <w:lang w:val="pt-BR" w:eastAsia="en-GB"/>
        </w:rPr>
        <w:t>Oválné, tmavě hnědé žvýkací tablety.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FDFE7F" w14:textId="1FC49B89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r w:rsidRPr="00427192">
        <w:t>Psi.</w:t>
      </w:r>
    </w:p>
    <w:p w14:paraId="41F79E6B" w14:textId="77777777" w:rsidR="009E54EA" w:rsidRPr="00B41D57" w:rsidRDefault="009E54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02842A" w14:textId="5E8CBFFB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>Pro léčbu psů se smíšenou infekcí tasemnicemi, gastrointestinálními hlísticemi, oční</w:t>
      </w:r>
      <w:r w:rsidR="00F72CA2">
        <w:t>mi</w:t>
      </w:r>
      <w:r w:rsidRPr="00427192">
        <w:t xml:space="preserve"> hlístic</w:t>
      </w:r>
      <w:r w:rsidR="00F72CA2">
        <w:t>emi</w:t>
      </w:r>
      <w:r w:rsidRPr="00427192">
        <w:t xml:space="preserve">, </w:t>
      </w:r>
      <w:proofErr w:type="spellStart"/>
      <w:r w:rsidRPr="00427192">
        <w:t>plicnivkami</w:t>
      </w:r>
      <w:proofErr w:type="spellEnd"/>
      <w:r w:rsidRPr="00427192">
        <w:t xml:space="preserve"> a/nebo srdečním</w:t>
      </w:r>
      <w:r w:rsidR="00F72CA2">
        <w:t>i</w:t>
      </w:r>
      <w:r w:rsidRPr="00427192">
        <w:t xml:space="preserve"> </w:t>
      </w:r>
      <w:proofErr w:type="spellStart"/>
      <w:r w:rsidR="00424199">
        <w:t>dirofiláriemi</w:t>
      </w:r>
      <w:proofErr w:type="spellEnd"/>
      <w:r w:rsidRPr="00427192">
        <w:t>. Tento veterinární léčivý přípravek je indikován pouze v případě, kdy je současně indikováno použití proti tasemnicím a hlísticím nebo prevence srdeční</w:t>
      </w:r>
      <w:r w:rsidR="00424199">
        <w:t xml:space="preserve"> </w:t>
      </w:r>
      <w:proofErr w:type="spellStart"/>
      <w:r w:rsidR="00424199">
        <w:t>dirofilariózy</w:t>
      </w:r>
      <w:proofErr w:type="spellEnd"/>
      <w:r w:rsidRPr="00427192">
        <w:t>/</w:t>
      </w:r>
      <w:proofErr w:type="spellStart"/>
      <w:r w:rsidRPr="00427192">
        <w:t>angiostrongylózy</w:t>
      </w:r>
      <w:proofErr w:type="spellEnd"/>
      <w:r w:rsidRPr="00427192">
        <w:t xml:space="preserve">. </w:t>
      </w:r>
    </w:p>
    <w:p w14:paraId="0A95368C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195A52EE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27192">
        <w:rPr>
          <w:u w:val="single"/>
        </w:rPr>
        <w:t>Tasemnice:</w:t>
      </w:r>
    </w:p>
    <w:p w14:paraId="392C4589" w14:textId="066898C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427192">
        <w:t xml:space="preserve">Léčba </w:t>
      </w:r>
      <w:r w:rsidR="00F72CA2">
        <w:t xml:space="preserve">infekce </w:t>
      </w:r>
      <w:r w:rsidRPr="00427192">
        <w:t>tasemnic</w:t>
      </w:r>
      <w:r w:rsidR="00F72CA2">
        <w:t>í</w:t>
      </w:r>
      <w:r w:rsidRPr="00427192">
        <w:t xml:space="preserve">: </w:t>
      </w:r>
      <w:proofErr w:type="spellStart"/>
      <w:r w:rsidRPr="00427192">
        <w:rPr>
          <w:i/>
        </w:rPr>
        <w:t>Dipylidium</w:t>
      </w:r>
      <w:proofErr w:type="spellEnd"/>
      <w:r w:rsidRPr="00427192">
        <w:rPr>
          <w:i/>
        </w:rPr>
        <w:t xml:space="preserve"> </w:t>
      </w:r>
      <w:proofErr w:type="spellStart"/>
      <w:r w:rsidRPr="00427192">
        <w:rPr>
          <w:i/>
        </w:rPr>
        <w:t>caninum</w:t>
      </w:r>
      <w:proofErr w:type="spellEnd"/>
      <w:r w:rsidRPr="00427192">
        <w:rPr>
          <w:i/>
        </w:rPr>
        <w:t xml:space="preserve">, </w:t>
      </w:r>
      <w:proofErr w:type="spellStart"/>
      <w:r w:rsidRPr="00427192">
        <w:rPr>
          <w:i/>
        </w:rPr>
        <w:t>Taenia</w:t>
      </w:r>
      <w:proofErr w:type="spellEnd"/>
      <w:r w:rsidRPr="00427192">
        <w:rPr>
          <w:i/>
        </w:rPr>
        <w:t xml:space="preserve"> </w:t>
      </w:r>
      <w:proofErr w:type="spellStart"/>
      <w:r w:rsidRPr="00427192">
        <w:t>spp</w:t>
      </w:r>
      <w:proofErr w:type="spellEnd"/>
      <w:r w:rsidRPr="00427192">
        <w:t>.</w:t>
      </w:r>
      <w:r w:rsidRPr="00427192">
        <w:rPr>
          <w:i/>
        </w:rPr>
        <w:t xml:space="preserve">, Echinococcus </w:t>
      </w:r>
      <w:r w:rsidRPr="00427192">
        <w:t>spp.</w:t>
      </w:r>
      <w:r w:rsidRPr="00427192">
        <w:rPr>
          <w:i/>
        </w:rPr>
        <w:t xml:space="preserve">, Mesocestoides </w:t>
      </w:r>
      <w:r w:rsidRPr="00427192">
        <w:t>spp.</w:t>
      </w:r>
    </w:p>
    <w:p w14:paraId="727460C6" w14:textId="77777777" w:rsidR="009E54EA" w:rsidRPr="005166E6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75B17B1F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27192">
        <w:rPr>
          <w:u w:val="single"/>
        </w:rPr>
        <w:t>Gastrointestinální hlístice:</w:t>
      </w:r>
    </w:p>
    <w:p w14:paraId="34CD4362" w14:textId="75BA3A7C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>Léčba</w:t>
      </w:r>
      <w:r w:rsidR="00F72CA2">
        <w:t xml:space="preserve"> infekce</w:t>
      </w:r>
      <w:r w:rsidRPr="00427192">
        <w:t>:</w:t>
      </w:r>
    </w:p>
    <w:p w14:paraId="419EC877" w14:textId="58ADE509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427192">
        <w:t>Měchov</w:t>
      </w:r>
      <w:r w:rsidR="00F72CA2">
        <w:t>cem</w:t>
      </w:r>
      <w:r w:rsidRPr="00427192">
        <w:t xml:space="preserve">: </w:t>
      </w:r>
      <w:proofErr w:type="spellStart"/>
      <w:r w:rsidRPr="00427192">
        <w:rPr>
          <w:i/>
        </w:rPr>
        <w:t>Ancylostoma</w:t>
      </w:r>
      <w:proofErr w:type="spellEnd"/>
      <w:r w:rsidRPr="00427192">
        <w:rPr>
          <w:i/>
        </w:rPr>
        <w:t xml:space="preserve"> </w:t>
      </w:r>
      <w:proofErr w:type="spellStart"/>
      <w:r w:rsidRPr="00427192">
        <w:rPr>
          <w:i/>
        </w:rPr>
        <w:t>caninum</w:t>
      </w:r>
      <w:proofErr w:type="spellEnd"/>
    </w:p>
    <w:p w14:paraId="037D4A1C" w14:textId="223876D8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427192">
        <w:rPr>
          <w:rFonts w:hint="eastAsia"/>
        </w:rPr>
        <w:t>Š</w:t>
      </w:r>
      <w:r w:rsidRPr="00427192">
        <w:t>krkavk</w:t>
      </w:r>
      <w:r w:rsidR="00F72CA2">
        <w:t>ami</w:t>
      </w:r>
      <w:r w:rsidRPr="00427192">
        <w:t xml:space="preserve">: </w:t>
      </w:r>
      <w:proofErr w:type="spellStart"/>
      <w:r w:rsidRPr="00427192">
        <w:rPr>
          <w:i/>
        </w:rPr>
        <w:t>Toxocara</w:t>
      </w:r>
      <w:proofErr w:type="spellEnd"/>
      <w:r w:rsidRPr="00427192">
        <w:rPr>
          <w:i/>
        </w:rPr>
        <w:t xml:space="preserve"> </w:t>
      </w:r>
      <w:proofErr w:type="spellStart"/>
      <w:r w:rsidRPr="00427192">
        <w:rPr>
          <w:i/>
        </w:rPr>
        <w:t>canis</w:t>
      </w:r>
      <w:proofErr w:type="spellEnd"/>
      <w:r w:rsidRPr="00427192">
        <w:rPr>
          <w:i/>
        </w:rPr>
        <w:t xml:space="preserve">, </w:t>
      </w:r>
      <w:proofErr w:type="spellStart"/>
      <w:r w:rsidRPr="00427192">
        <w:rPr>
          <w:i/>
        </w:rPr>
        <w:t>Toxascaris</w:t>
      </w:r>
      <w:proofErr w:type="spellEnd"/>
      <w:r w:rsidRPr="00427192">
        <w:rPr>
          <w:i/>
        </w:rPr>
        <w:t xml:space="preserve"> </w:t>
      </w:r>
      <w:proofErr w:type="spellStart"/>
      <w:r w:rsidRPr="00427192">
        <w:rPr>
          <w:i/>
        </w:rPr>
        <w:t>leonina</w:t>
      </w:r>
      <w:proofErr w:type="spellEnd"/>
    </w:p>
    <w:p w14:paraId="7890D595" w14:textId="6B33F783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proofErr w:type="spellStart"/>
      <w:r w:rsidRPr="00427192">
        <w:t>Tenkohlav</w:t>
      </w:r>
      <w:r w:rsidR="00F72CA2">
        <w:t>cem</w:t>
      </w:r>
      <w:proofErr w:type="spellEnd"/>
      <w:r w:rsidRPr="00427192">
        <w:t xml:space="preserve">: </w:t>
      </w:r>
      <w:proofErr w:type="spellStart"/>
      <w:r w:rsidRPr="00427192">
        <w:rPr>
          <w:i/>
        </w:rPr>
        <w:t>Trichuris</w:t>
      </w:r>
      <w:proofErr w:type="spellEnd"/>
      <w:r w:rsidRPr="00427192">
        <w:rPr>
          <w:i/>
        </w:rPr>
        <w:t xml:space="preserve"> </w:t>
      </w:r>
      <w:proofErr w:type="spellStart"/>
      <w:r w:rsidRPr="00427192">
        <w:rPr>
          <w:i/>
        </w:rPr>
        <w:t>vulpis</w:t>
      </w:r>
      <w:proofErr w:type="spellEnd"/>
    </w:p>
    <w:p w14:paraId="675EA4EB" w14:textId="77777777" w:rsidR="009E54EA" w:rsidRPr="005166E6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eastAsia="en-GB"/>
        </w:rPr>
      </w:pPr>
    </w:p>
    <w:p w14:paraId="34E9CBE0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27192">
        <w:rPr>
          <w:u w:val="single"/>
        </w:rPr>
        <w:t xml:space="preserve">Oční hlístice </w:t>
      </w:r>
    </w:p>
    <w:p w14:paraId="083F1790" w14:textId="2F967B59" w:rsidR="009E54EA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427192">
        <w:t>Léčba</w:t>
      </w:r>
      <w:r w:rsidR="00F72CA2">
        <w:t xml:space="preserve"> infekce</w:t>
      </w:r>
      <w:r w:rsidRPr="00427192">
        <w:t xml:space="preserve"> </w:t>
      </w:r>
      <w:proofErr w:type="spellStart"/>
      <w:r w:rsidRPr="00427192">
        <w:rPr>
          <w:i/>
        </w:rPr>
        <w:t>Thelazia</w:t>
      </w:r>
      <w:proofErr w:type="spellEnd"/>
      <w:r w:rsidRPr="00427192">
        <w:rPr>
          <w:i/>
        </w:rPr>
        <w:t xml:space="preserve"> </w:t>
      </w:r>
      <w:proofErr w:type="spellStart"/>
      <w:r w:rsidRPr="00427192">
        <w:rPr>
          <w:i/>
        </w:rPr>
        <w:t>callipaeda</w:t>
      </w:r>
      <w:proofErr w:type="spellEnd"/>
      <w:r w:rsidRPr="00427192">
        <w:rPr>
          <w:i/>
        </w:rPr>
        <w:t xml:space="preserve"> </w:t>
      </w:r>
      <w:r w:rsidRPr="00427192">
        <w:t xml:space="preserve">(viz specifické schéma léčby v bodě </w:t>
      </w:r>
      <w:r>
        <w:t>8 „</w:t>
      </w:r>
      <w:r w:rsidRPr="009E54EA">
        <w:t>Dávkování pro každý druh, cesty a způsob podání</w:t>
      </w:r>
      <w:r w:rsidRPr="00427192">
        <w:t xml:space="preserve">“). </w:t>
      </w:r>
    </w:p>
    <w:p w14:paraId="77A4AE50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77791DA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27192">
        <w:rPr>
          <w:u w:val="single"/>
        </w:rPr>
        <w:t xml:space="preserve">Plicnivky </w:t>
      </w:r>
    </w:p>
    <w:p w14:paraId="41234E48" w14:textId="12D4A91E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>Léčba</w:t>
      </w:r>
      <w:r w:rsidR="00F72CA2">
        <w:t xml:space="preserve"> infekce</w:t>
      </w:r>
      <w:r w:rsidRPr="00427192">
        <w:t>:</w:t>
      </w:r>
    </w:p>
    <w:p w14:paraId="027F0431" w14:textId="3E40F36E" w:rsidR="009E54EA" w:rsidRPr="009E54EA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427192">
        <w:rPr>
          <w:i/>
        </w:rPr>
        <w:t xml:space="preserve">Angiostrongylus vasorum </w:t>
      </w:r>
      <w:r w:rsidRPr="00427192">
        <w:t xml:space="preserve">(snížení úrovně infekce </w:t>
      </w:r>
      <w:r w:rsidR="00424199">
        <w:t>juvenilní</w:t>
      </w:r>
      <w:r w:rsidR="00F72CA2">
        <w:t>mi stádii</w:t>
      </w:r>
      <w:r w:rsidR="00F72CA2" w:rsidRPr="00427192">
        <w:t xml:space="preserve"> </w:t>
      </w:r>
      <w:r w:rsidRPr="00427192">
        <w:t>(L5) a dospěl</w:t>
      </w:r>
      <w:r w:rsidR="00424199">
        <w:t>c</w:t>
      </w:r>
      <w:r w:rsidRPr="00427192">
        <w:t xml:space="preserve">i parazitů; viz specifická schémata léčby a prevence onemocnění popsané v bodě </w:t>
      </w:r>
      <w:r>
        <w:t>8 „</w:t>
      </w:r>
      <w:r w:rsidRPr="009E54EA">
        <w:t>Dávkování pro každý druh, cesty a způsob podání</w:t>
      </w:r>
      <w:r w:rsidRPr="00427192">
        <w:t>“)</w:t>
      </w:r>
    </w:p>
    <w:p w14:paraId="5DD06BB8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rPr>
          <w:i/>
        </w:rPr>
        <w:t xml:space="preserve">Crenosoma vulpis </w:t>
      </w:r>
      <w:r w:rsidRPr="00427192">
        <w:t>(snížení úrovně infekce).</w:t>
      </w:r>
    </w:p>
    <w:p w14:paraId="1FC15A39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57AF0829" w14:textId="5CC785DF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27192">
        <w:rPr>
          <w:u w:val="single"/>
        </w:rPr>
        <w:lastRenderedPageBreak/>
        <w:t xml:space="preserve">Srdeční </w:t>
      </w:r>
      <w:proofErr w:type="spellStart"/>
      <w:r w:rsidR="00424199">
        <w:rPr>
          <w:u w:val="single"/>
        </w:rPr>
        <w:t>dirofilárie</w:t>
      </w:r>
      <w:proofErr w:type="spellEnd"/>
      <w:r w:rsidRPr="00427192">
        <w:rPr>
          <w:u w:val="single"/>
        </w:rPr>
        <w:t xml:space="preserve"> </w:t>
      </w:r>
    </w:p>
    <w:p w14:paraId="70D8E35C" w14:textId="6D679DB7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r w:rsidRPr="00427192">
        <w:t xml:space="preserve">Prevence napadení srdečními </w:t>
      </w:r>
      <w:proofErr w:type="spellStart"/>
      <w:r w:rsidR="00424199">
        <w:t>dirofiláriemi</w:t>
      </w:r>
      <w:proofErr w:type="spellEnd"/>
      <w:r w:rsidRPr="00427192">
        <w:t xml:space="preserve"> (</w:t>
      </w:r>
      <w:proofErr w:type="spellStart"/>
      <w:r w:rsidRPr="00427192">
        <w:rPr>
          <w:i/>
        </w:rPr>
        <w:t>Dirofilaria</w:t>
      </w:r>
      <w:proofErr w:type="spellEnd"/>
      <w:r w:rsidRPr="00427192">
        <w:rPr>
          <w:i/>
        </w:rPr>
        <w:t xml:space="preserve"> </w:t>
      </w:r>
      <w:proofErr w:type="spellStart"/>
      <w:r w:rsidRPr="00427192">
        <w:rPr>
          <w:i/>
        </w:rPr>
        <w:t>immitis</w:t>
      </w:r>
      <w:proofErr w:type="spellEnd"/>
      <w:r w:rsidRPr="00427192">
        <w:t>), pokud je indikována souběžná léčba proti tasemnicím.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551AD" w14:textId="791DBF78" w:rsidR="00C21EAE" w:rsidRDefault="00C21EAE" w:rsidP="00C21EAE">
      <w:pPr>
        <w:tabs>
          <w:tab w:val="clear" w:pos="567"/>
        </w:tabs>
        <w:spacing w:line="240" w:lineRule="auto"/>
      </w:pPr>
      <w:r>
        <w:t>Nepoužívat „žvýkací tablety pro malé psy a štěňata“ u psů s hmotností nižší než 1</w:t>
      </w:r>
    </w:p>
    <w:p w14:paraId="6D0B39E7" w14:textId="77777777" w:rsidR="00C21EAE" w:rsidRDefault="00C21EAE" w:rsidP="00C21EAE">
      <w:pPr>
        <w:tabs>
          <w:tab w:val="clear" w:pos="567"/>
        </w:tabs>
        <w:spacing w:line="240" w:lineRule="auto"/>
      </w:pPr>
      <w:r>
        <w:t>kg.</w:t>
      </w:r>
    </w:p>
    <w:p w14:paraId="62B94DE0" w14:textId="05476552" w:rsidR="00C21EAE" w:rsidRDefault="00C21EAE" w:rsidP="00C21EAE">
      <w:pPr>
        <w:tabs>
          <w:tab w:val="clear" w:pos="567"/>
        </w:tabs>
        <w:spacing w:line="240" w:lineRule="auto"/>
      </w:pPr>
      <w:r>
        <w:t>Nepoužívat „žvýkací tablety pro psy“ u psů s hmotností nižší než 5 kg.</w:t>
      </w:r>
    </w:p>
    <w:p w14:paraId="43E723C7" w14:textId="73008D8E" w:rsidR="00C21EAE" w:rsidRPr="0024255B" w:rsidRDefault="00C21EAE" w:rsidP="00C21EA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Nepoužívat v případech přecitlivělosti na léčivé látky nebo na některou z pomocných látek.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E67B29" w14:textId="3B1A704A" w:rsidR="00F354C5" w:rsidRDefault="00B276F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41542F2E" w14:textId="0710BAF8" w:rsidR="009E54EA" w:rsidRPr="00427192" w:rsidRDefault="00F72CA2" w:rsidP="009E54EA">
      <w:pPr>
        <w:spacing w:line="240" w:lineRule="auto"/>
        <w:rPr>
          <w:iCs/>
          <w:szCs w:val="22"/>
        </w:rPr>
      </w:pPr>
      <w:r>
        <w:t>Nad</w:t>
      </w:r>
      <w:r w:rsidR="009E54EA" w:rsidRPr="00427192">
        <w:t xml:space="preserve">bytečné použití antiparazitik nebo použití v rozporu s pokyny uvedenými v </w:t>
      </w:r>
      <w:r>
        <w:t>SPC</w:t>
      </w:r>
      <w:r w:rsidR="009E54EA" w:rsidRPr="00427192">
        <w:t xml:space="preserve"> může zvýšit selekční</w:t>
      </w:r>
      <w:r>
        <w:t>m</w:t>
      </w:r>
      <w:r w:rsidR="009E54EA" w:rsidRPr="00427192">
        <w:t xml:space="preserve"> tlak</w:t>
      </w:r>
      <w:r>
        <w:t>em</w:t>
      </w:r>
      <w:r w:rsidR="009E54EA" w:rsidRPr="00427192">
        <w:t xml:space="preserve"> rezistenci a vést ke snížení účinnosti. Rozhodnutí o použití veterinárního léčivého přípravku by mělo</w:t>
      </w:r>
      <w:r>
        <w:t xml:space="preserve"> být založeno</w:t>
      </w:r>
      <w:r w:rsidR="009E54EA" w:rsidRPr="00427192">
        <w:t xml:space="preserve"> na potvrzení druhu parazita a </w:t>
      </w:r>
      <w:r>
        <w:t>parazitární zátěži</w:t>
      </w:r>
      <w:r w:rsidR="009E54EA" w:rsidRPr="00427192">
        <w:t xml:space="preserve"> nebo na rizik</w:t>
      </w:r>
      <w:r>
        <w:t>u</w:t>
      </w:r>
      <w:r w:rsidR="009E54EA" w:rsidRPr="00427192">
        <w:t xml:space="preserve"> infekce na základě</w:t>
      </w:r>
      <w:r>
        <w:t xml:space="preserve"> jeho</w:t>
      </w:r>
      <w:r w:rsidR="009E54EA" w:rsidRPr="00427192">
        <w:t xml:space="preserve"> epidemiologických </w:t>
      </w:r>
      <w:r>
        <w:t>informací, a to u</w:t>
      </w:r>
      <w:r w:rsidR="009E54EA" w:rsidRPr="00427192">
        <w:t xml:space="preserve"> každé</w:t>
      </w:r>
      <w:r>
        <w:t>ho</w:t>
      </w:r>
      <w:r w:rsidR="009E54EA" w:rsidRPr="00427192">
        <w:t xml:space="preserve"> jednotlivé</w:t>
      </w:r>
      <w:r>
        <w:t>ho</w:t>
      </w:r>
      <w:r w:rsidR="009E54EA" w:rsidRPr="00427192">
        <w:t xml:space="preserve"> zvíře</w:t>
      </w:r>
      <w:r>
        <w:t>te</w:t>
      </w:r>
      <w:r w:rsidR="009E54EA" w:rsidRPr="00427192">
        <w:t>.</w:t>
      </w:r>
    </w:p>
    <w:p w14:paraId="55A2E076" w14:textId="77777777" w:rsidR="009E54EA" w:rsidRPr="00427192" w:rsidRDefault="009E54EA" w:rsidP="009E54EA">
      <w:pPr>
        <w:spacing w:line="240" w:lineRule="auto"/>
        <w:rPr>
          <w:iCs/>
          <w:szCs w:val="22"/>
        </w:rPr>
      </w:pPr>
    </w:p>
    <w:p w14:paraId="6489E628" w14:textId="0F56BC25" w:rsidR="009E54EA" w:rsidRPr="00427192" w:rsidRDefault="00F72CA2" w:rsidP="009E54EA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>
        <w:t>Jestliže</w:t>
      </w:r>
      <w:r w:rsidR="009E54EA" w:rsidRPr="00427192">
        <w:t xml:space="preserve"> neexistuje riziko </w:t>
      </w:r>
      <w:proofErr w:type="spellStart"/>
      <w:r w:rsidR="009E54EA" w:rsidRPr="00427192">
        <w:t>koinfekce</w:t>
      </w:r>
      <w:proofErr w:type="spellEnd"/>
      <w:r w:rsidR="009E54EA" w:rsidRPr="00427192">
        <w:t> hlísticemi nebo tasemnicemi, měl by být po</w:t>
      </w:r>
      <w:r>
        <w:t>dán</w:t>
      </w:r>
      <w:r w:rsidR="009E54EA" w:rsidRPr="00427192">
        <w:t xml:space="preserve"> veterinární léčivý přípravek s úzkým spektrem účinku. </w:t>
      </w:r>
    </w:p>
    <w:p w14:paraId="194F7DD3" w14:textId="77777777" w:rsidR="009E54EA" w:rsidRPr="00427192" w:rsidRDefault="009E54EA" w:rsidP="009E54EA">
      <w:pPr>
        <w:autoSpaceDE w:val="0"/>
        <w:autoSpaceDN w:val="0"/>
        <w:adjustRightInd w:val="0"/>
        <w:spacing w:line="240" w:lineRule="auto"/>
        <w:rPr>
          <w:iCs/>
          <w:szCs w:val="22"/>
          <w:lang w:eastAsia="en-GB"/>
        </w:rPr>
      </w:pPr>
    </w:p>
    <w:p w14:paraId="199AD3B5" w14:textId="1E59F8CE" w:rsidR="009E54EA" w:rsidRPr="00427192" w:rsidRDefault="00F72CA2" w:rsidP="009E54EA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>
        <w:t>M</w:t>
      </w:r>
      <w:r w:rsidR="009E54EA" w:rsidRPr="00427192">
        <w:t xml:space="preserve">ožnost, že </w:t>
      </w:r>
      <w:r>
        <w:t xml:space="preserve">další </w:t>
      </w:r>
      <w:r w:rsidR="009E54EA" w:rsidRPr="00427192">
        <w:t>zvířata v</w:t>
      </w:r>
      <w:r>
        <w:t xml:space="preserve"> téže</w:t>
      </w:r>
      <w:r w:rsidR="009E54EA" w:rsidRPr="00427192">
        <w:t xml:space="preserve"> domácnosti</w:t>
      </w:r>
      <w:r>
        <w:t xml:space="preserve"> mohou být zdrojem opětovné infekce hlísticemi a tasemnicemi, by měla být zvážena a tato zvířata</w:t>
      </w:r>
      <w:r w:rsidR="009E54EA" w:rsidRPr="00427192">
        <w:t xml:space="preserve"> by měla být v případě potřeby ošetřena vhodným veterinárním léčivým přípravkem. </w:t>
      </w:r>
    </w:p>
    <w:p w14:paraId="63B8883D" w14:textId="77777777" w:rsidR="009E54EA" w:rsidRPr="00427192" w:rsidRDefault="009E54EA" w:rsidP="009E54EA">
      <w:pPr>
        <w:spacing w:line="240" w:lineRule="auto"/>
        <w:rPr>
          <w:iCs/>
          <w:szCs w:val="22"/>
        </w:rPr>
      </w:pPr>
      <w:r w:rsidRPr="00427192">
        <w:t>Doporučuje se současně ošetřit všechna zvířata žijící v jedné domácnosti.</w:t>
      </w:r>
    </w:p>
    <w:p w14:paraId="394F82EC" w14:textId="77777777" w:rsidR="009E54EA" w:rsidRPr="00427192" w:rsidRDefault="009E54EA" w:rsidP="009E54EA">
      <w:pPr>
        <w:autoSpaceDE w:val="0"/>
        <w:autoSpaceDN w:val="0"/>
        <w:adjustRightInd w:val="0"/>
        <w:spacing w:line="240" w:lineRule="auto"/>
        <w:rPr>
          <w:iCs/>
          <w:szCs w:val="22"/>
          <w:lang w:eastAsia="en-GB"/>
        </w:rPr>
      </w:pPr>
    </w:p>
    <w:p w14:paraId="3A5E6DC1" w14:textId="77777777" w:rsidR="009E54EA" w:rsidRPr="00427192" w:rsidRDefault="009E54EA" w:rsidP="009E54EA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427192">
        <w:t xml:space="preserve">Rezistence parazitů vůči jakékoliv skupině anthelmintik se může vyvinout po častém, opakovaném použití anthelmintika příslušné skupiny. </w:t>
      </w:r>
    </w:p>
    <w:p w14:paraId="53A54CAB" w14:textId="77777777" w:rsidR="009E54EA" w:rsidRPr="00427192" w:rsidRDefault="009E54EA" w:rsidP="009E54EA">
      <w:pPr>
        <w:spacing w:line="240" w:lineRule="auto"/>
        <w:rPr>
          <w:iCs/>
          <w:szCs w:val="22"/>
          <w:lang w:eastAsia="en-GB"/>
        </w:rPr>
      </w:pPr>
    </w:p>
    <w:p w14:paraId="077B27DF" w14:textId="77777777" w:rsidR="009E54EA" w:rsidRPr="00427192" w:rsidRDefault="009E54EA" w:rsidP="009E54EA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427192">
        <w:t xml:space="preserve">U psů byla zaznamenána rezistence </w:t>
      </w:r>
      <w:r w:rsidRPr="00427192">
        <w:rPr>
          <w:i/>
        </w:rPr>
        <w:t>Dipylidium caninum</w:t>
      </w:r>
      <w:r w:rsidRPr="00427192">
        <w:t xml:space="preserve"> na prazikvantel, stejně jako případy multirezistence </w:t>
      </w:r>
      <w:r w:rsidRPr="00427192">
        <w:rPr>
          <w:i/>
        </w:rPr>
        <w:t>Ancylostoma caninum</w:t>
      </w:r>
      <w:r w:rsidRPr="00427192">
        <w:t xml:space="preserve"> na milbemycinoxim a rezistence </w:t>
      </w:r>
      <w:r w:rsidRPr="00427192">
        <w:rPr>
          <w:i/>
        </w:rPr>
        <w:t>Dirofilaria immitis</w:t>
      </w:r>
      <w:r w:rsidRPr="00427192">
        <w:t xml:space="preserve"> na makrocyklické laktony. </w:t>
      </w:r>
    </w:p>
    <w:p w14:paraId="1AB55122" w14:textId="77777777" w:rsidR="009E54EA" w:rsidRPr="00427192" w:rsidRDefault="009E54EA" w:rsidP="009E54EA">
      <w:pPr>
        <w:spacing w:line="240" w:lineRule="auto"/>
        <w:rPr>
          <w:iCs/>
          <w:szCs w:val="22"/>
          <w:lang w:eastAsia="en-GB"/>
        </w:rPr>
      </w:pPr>
    </w:p>
    <w:p w14:paraId="38F644E4" w14:textId="3EDDDC7D" w:rsidR="009E54EA" w:rsidRPr="00427192" w:rsidRDefault="00F72CA2" w:rsidP="009E54EA">
      <w:pPr>
        <w:tabs>
          <w:tab w:val="left" w:pos="0"/>
        </w:tabs>
        <w:spacing w:line="240" w:lineRule="auto"/>
        <w:rPr>
          <w:iCs/>
          <w:szCs w:val="22"/>
        </w:rPr>
      </w:pPr>
      <w:r>
        <w:t>Doporučuje se dále vyšetřovat případy</w:t>
      </w:r>
      <w:r w:rsidRPr="00427192">
        <w:t xml:space="preserve"> </w:t>
      </w:r>
      <w:r w:rsidR="009E54EA" w:rsidRPr="00427192">
        <w:t>podezření na rezistenci pomocí vhodné diagnostické metody.</w:t>
      </w:r>
    </w:p>
    <w:p w14:paraId="5ABDB9DD" w14:textId="77777777" w:rsidR="009E54EA" w:rsidRPr="00427192" w:rsidRDefault="009E54EA" w:rsidP="009E54EA">
      <w:pPr>
        <w:tabs>
          <w:tab w:val="left" w:pos="0"/>
        </w:tabs>
        <w:spacing w:line="240" w:lineRule="auto"/>
        <w:rPr>
          <w:iCs/>
          <w:szCs w:val="22"/>
          <w:lang w:eastAsia="en-GB"/>
        </w:rPr>
      </w:pPr>
    </w:p>
    <w:p w14:paraId="3B9047B9" w14:textId="76C897BF" w:rsidR="009E54EA" w:rsidRPr="00427192" w:rsidRDefault="009E54EA" w:rsidP="009E54EA">
      <w:pPr>
        <w:tabs>
          <w:tab w:val="left" w:pos="0"/>
        </w:tabs>
        <w:spacing w:line="240" w:lineRule="auto"/>
        <w:rPr>
          <w:iCs/>
          <w:szCs w:val="22"/>
        </w:rPr>
      </w:pPr>
      <w:r w:rsidRPr="00427192">
        <w:t>Při použ</w:t>
      </w:r>
      <w:r w:rsidR="00F72CA2">
        <w:t>ívání</w:t>
      </w:r>
      <w:r w:rsidRPr="00427192">
        <w:t xml:space="preserve"> tohoto veterinárního léčivého přípravku je třeba</w:t>
      </w:r>
      <w:r w:rsidR="00F72CA2">
        <w:t xml:space="preserve"> vzít v úvahu</w:t>
      </w:r>
      <w:r w:rsidRPr="00427192">
        <w:t xml:space="preserve"> místní </w:t>
      </w:r>
      <w:r w:rsidR="00F72CA2">
        <w:t xml:space="preserve">epidemiologickou </w:t>
      </w:r>
      <w:r w:rsidRPr="00427192">
        <w:t>informac</w:t>
      </w:r>
      <w:r w:rsidR="00F72CA2">
        <w:t>i</w:t>
      </w:r>
      <w:r w:rsidRPr="00427192">
        <w:t xml:space="preserve"> o</w:t>
      </w:r>
      <w:r w:rsidR="00F72CA2">
        <w:t xml:space="preserve"> aktuální</w:t>
      </w:r>
      <w:r w:rsidRPr="00427192">
        <w:t xml:space="preserve"> citlivosti cílových parazitů, </w:t>
      </w:r>
      <w:r w:rsidR="00F72CA2">
        <w:t xml:space="preserve">pokud </w:t>
      </w:r>
      <w:r w:rsidRPr="00427192">
        <w:t>jsou k dispozici.</w:t>
      </w:r>
    </w:p>
    <w:p w14:paraId="291C6863" w14:textId="77777777" w:rsidR="009E54EA" w:rsidRPr="00427192" w:rsidRDefault="009E54EA" w:rsidP="009E54EA">
      <w:pPr>
        <w:tabs>
          <w:tab w:val="left" w:pos="0"/>
        </w:tabs>
        <w:spacing w:line="240" w:lineRule="auto"/>
        <w:rPr>
          <w:iCs/>
          <w:szCs w:val="22"/>
        </w:rPr>
      </w:pPr>
    </w:p>
    <w:p w14:paraId="41DD722F" w14:textId="73A1DF04" w:rsidR="009E54EA" w:rsidRPr="00427192" w:rsidRDefault="009E54EA" w:rsidP="009E54EA">
      <w:pPr>
        <w:spacing w:line="240" w:lineRule="auto"/>
        <w:rPr>
          <w:iCs/>
          <w:szCs w:val="22"/>
        </w:rPr>
      </w:pPr>
      <w:r w:rsidRPr="00427192">
        <w:t>Potvrzen</w:t>
      </w:r>
      <w:r w:rsidR="00F72CA2">
        <w:t>á</w:t>
      </w:r>
      <w:r w:rsidRPr="00427192">
        <w:t xml:space="preserve"> rezistenc</w:t>
      </w:r>
      <w:r w:rsidR="00F72CA2">
        <w:t>e</w:t>
      </w:r>
      <w:r w:rsidRPr="00427192">
        <w:t xml:space="preserve"> </w:t>
      </w:r>
      <w:r w:rsidR="00F72CA2">
        <w:t>by měla být</w:t>
      </w:r>
      <w:r w:rsidRPr="00427192">
        <w:t xml:space="preserve"> </w:t>
      </w:r>
      <w:r w:rsidR="00F72CA2">
        <w:t>hlášena</w:t>
      </w:r>
      <w:r w:rsidRPr="00427192">
        <w:t xml:space="preserve"> držiteli rozhodnutí o registraci nebo příslušným orgánům.</w:t>
      </w:r>
    </w:p>
    <w:p w14:paraId="67725535" w14:textId="77777777" w:rsidR="009E54EA" w:rsidRPr="00427192" w:rsidRDefault="009E54EA" w:rsidP="009E54EA">
      <w:pPr>
        <w:spacing w:line="240" w:lineRule="auto"/>
        <w:rPr>
          <w:iCs/>
          <w:szCs w:val="22"/>
          <w:lang w:eastAsia="en-GB"/>
        </w:rPr>
      </w:pPr>
    </w:p>
    <w:p w14:paraId="283BADD1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427192">
        <w:t xml:space="preserve">Pokud je potvrzena infekce tasemnicí </w:t>
      </w:r>
      <w:r w:rsidRPr="00427192">
        <w:rPr>
          <w:i/>
        </w:rPr>
        <w:t>D. caninum</w:t>
      </w:r>
      <w:r w:rsidRPr="00427192">
        <w:t>, měla by být s veterinárním lékařem projednána souběžná léčba proti mezihostitelům, jako jsou blechy a vši, aby se zabránilo opětovné infekci.</w:t>
      </w:r>
    </w:p>
    <w:p w14:paraId="3BDDA6C9" w14:textId="77777777" w:rsidR="009E54EA" w:rsidRPr="00B41D57" w:rsidRDefault="009E54EA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CFBDAE7" w:rsidR="00F354C5" w:rsidRPr="00B41D57" w:rsidRDefault="00B276F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5552B778" w14:textId="51B150E4" w:rsidR="00C21EAE" w:rsidRPr="00C21EAE" w:rsidRDefault="00C21EAE" w:rsidP="00C21EAE">
      <w:pPr>
        <w:tabs>
          <w:tab w:val="clear" w:pos="567"/>
        </w:tabs>
        <w:spacing w:line="240" w:lineRule="auto"/>
        <w:rPr>
          <w:szCs w:val="22"/>
        </w:rPr>
      </w:pPr>
      <w:r w:rsidRPr="00C21EAE">
        <w:rPr>
          <w:szCs w:val="22"/>
        </w:rPr>
        <w:t xml:space="preserve">Studie s </w:t>
      </w:r>
      <w:proofErr w:type="spellStart"/>
      <w:r w:rsidRPr="00C21EAE">
        <w:rPr>
          <w:szCs w:val="22"/>
        </w:rPr>
        <w:t>mibemycinoximem</w:t>
      </w:r>
      <w:proofErr w:type="spellEnd"/>
      <w:r w:rsidRPr="00C21EAE">
        <w:rPr>
          <w:szCs w:val="22"/>
        </w:rPr>
        <w:t xml:space="preserve"> prokázaly, že hranice bezpečnosti je u některých psů plemene kolie nebo příbuzných plemen nižší než u jiných plemen. U těchto psů je nutné přísně dodržovat doporučené dávkování. </w:t>
      </w:r>
    </w:p>
    <w:p w14:paraId="61554C63" w14:textId="77777777" w:rsidR="00C21EAE" w:rsidRPr="00C21EAE" w:rsidRDefault="00C21EAE" w:rsidP="00C21EAE">
      <w:pPr>
        <w:tabs>
          <w:tab w:val="clear" w:pos="567"/>
        </w:tabs>
        <w:spacing w:line="240" w:lineRule="auto"/>
        <w:rPr>
          <w:szCs w:val="22"/>
        </w:rPr>
      </w:pPr>
      <w:r w:rsidRPr="00C21EAE">
        <w:rPr>
          <w:szCs w:val="22"/>
        </w:rPr>
        <w:t xml:space="preserve">Tolerance veterinárního léčivého přípravku u mladých štěňat těchto plemen nebyla zkoumána. </w:t>
      </w:r>
    </w:p>
    <w:p w14:paraId="347DAD5C" w14:textId="23F59AA2" w:rsidR="00C21EAE" w:rsidRDefault="00C21EAE" w:rsidP="00F43996">
      <w:pPr>
        <w:tabs>
          <w:tab w:val="clear" w:pos="567"/>
        </w:tabs>
        <w:spacing w:line="240" w:lineRule="auto"/>
      </w:pPr>
      <w:r w:rsidRPr="00C21EAE">
        <w:rPr>
          <w:szCs w:val="22"/>
        </w:rPr>
        <w:t>Klinické příznaky u kolií jsou podobné těm, které byly pozorovány u běžné populace psů při předávkování</w:t>
      </w:r>
      <w:r w:rsidR="00F72CA2">
        <w:rPr>
          <w:szCs w:val="22"/>
        </w:rPr>
        <w:t xml:space="preserve"> (</w:t>
      </w:r>
      <w:r w:rsidR="00FA2CF2">
        <w:rPr>
          <w:szCs w:val="22"/>
        </w:rPr>
        <w:t xml:space="preserve">viz bod </w:t>
      </w:r>
      <w:r w:rsidR="00FA2CF2" w:rsidRPr="00F43996">
        <w:rPr>
          <w:szCs w:val="22"/>
          <w:lang w:eastAsia="en-GB"/>
        </w:rPr>
        <w:t>“Předávkování”)</w:t>
      </w:r>
      <w:r w:rsidRPr="00C21EAE">
        <w:rPr>
          <w:szCs w:val="22"/>
        </w:rPr>
        <w:t>.</w:t>
      </w:r>
    </w:p>
    <w:p w14:paraId="4A46EBAA" w14:textId="6E3F69BB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 xml:space="preserve">Léčba psů s velkým počtem cirkulujících mikrofilárií může někdy vést k výskytu reakcí z přecitlivělosti, jako jsou bledé sliznice, zvracení, třes, ztížené dýchání nebo nadměrné slinění. Tyto reakce jsou spojeny s uvolňováním proteinů z mrtvých nebo odumírajících mikrofilárií a nejsou přímým toxickým účinkem veterinárního léčivého přípravku. Použití u psů trpících </w:t>
      </w:r>
      <w:proofErr w:type="spellStart"/>
      <w:r w:rsidRPr="00427192">
        <w:t>mikrofilaremií</w:t>
      </w:r>
      <w:proofErr w:type="spellEnd"/>
      <w:r w:rsidRPr="00427192">
        <w:t xml:space="preserve"> se proto nedoporučuje. V oblastech s rizikem výskytu </w:t>
      </w:r>
      <w:r w:rsidR="00424199">
        <w:t xml:space="preserve">srdeční </w:t>
      </w:r>
      <w:proofErr w:type="spellStart"/>
      <w:r w:rsidRPr="00427192">
        <w:t>dirofilariózy</w:t>
      </w:r>
      <w:proofErr w:type="spellEnd"/>
      <w:r w:rsidRPr="00427192">
        <w:t xml:space="preserve"> nebo v případě, že je známo, že pes cestoval do a z </w:t>
      </w:r>
    </w:p>
    <w:p w14:paraId="1DCBC315" w14:textId="5F8E230B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lastRenderedPageBreak/>
        <w:t xml:space="preserve">oblastí s rizikem výskytu </w:t>
      </w:r>
      <w:r w:rsidR="00424199">
        <w:t xml:space="preserve">srdeční </w:t>
      </w:r>
      <w:proofErr w:type="spellStart"/>
      <w:r w:rsidRPr="00427192">
        <w:t>dirofilariózy</w:t>
      </w:r>
      <w:proofErr w:type="spellEnd"/>
      <w:r w:rsidRPr="00427192">
        <w:t xml:space="preserve">, se před použitím veterinárního léčivého přípravku doporučuje konzultace s veterinárním lékařem, aby se vyloučilo jakékoli současné napadení </w:t>
      </w:r>
      <w:r w:rsidRPr="00427192">
        <w:rPr>
          <w:i/>
        </w:rPr>
        <w:t>Dirofilaria immitis</w:t>
      </w:r>
      <w:r w:rsidRPr="00427192">
        <w:t xml:space="preserve">. V případě pozitivní diagnózy je před podáním veterinárního léčivého přípravku indikována adulticidní terapie. </w:t>
      </w:r>
    </w:p>
    <w:p w14:paraId="2D07CCCE" w14:textId="77777777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1F48BBF3" w14:textId="06332DF0" w:rsidR="009E54EA" w:rsidRPr="00427192" w:rsidRDefault="009E54EA" w:rsidP="009E54E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 xml:space="preserve">Nebyly provedeny žádné studie se silně oslabenými psy nebo jinými jedinci se závažným poškozením funkce ledvin nebo jater. Pro taková zvířata se veterinární léčivý přípravek nedoporučuje, případně se doporučuje pouze </w:t>
      </w:r>
      <w:r w:rsidR="00FA2CF2">
        <w:t>po zvážení terapeutického prospěchu</w:t>
      </w:r>
      <w:r w:rsidRPr="00427192">
        <w:t xml:space="preserve"> a rizik</w:t>
      </w:r>
      <w:r w:rsidR="00FA2CF2">
        <w:t>a</w:t>
      </w:r>
      <w:r w:rsidRPr="00427192">
        <w:t xml:space="preserve"> </w:t>
      </w:r>
      <w:r w:rsidR="00FA2CF2">
        <w:t>přísluš</w:t>
      </w:r>
      <w:r w:rsidRPr="00427192">
        <w:t xml:space="preserve">ným veterinárním lékařem. </w:t>
      </w:r>
    </w:p>
    <w:p w14:paraId="445F2D32" w14:textId="77777777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1255C1CA" w14:textId="77777777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r w:rsidRPr="00427192">
        <w:t xml:space="preserve">U psů mladších než 4 týdny je infekce tasemnicí neobvyklá. Léčba zvířat mladších než 4 týdny kombinovaným veterinárním léčivým přípravkem proto nemusí být nutná. </w:t>
      </w:r>
    </w:p>
    <w:p w14:paraId="1C1C83DE" w14:textId="77777777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0CFB9426" w14:textId="77777777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r w:rsidRPr="00427192">
        <w:t>Tablety jsou ochucené. Aby se zabránilo náhodnému požití, uchovávejte tablety mimo dosah zvířat.</w:t>
      </w:r>
    </w:p>
    <w:p w14:paraId="7062C155" w14:textId="77777777" w:rsidR="009E54EA" w:rsidRPr="00B41D57" w:rsidRDefault="009E54EA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22EF990B" w:rsidR="00F354C5" w:rsidRPr="00B41D57" w:rsidRDefault="00B276F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DAED05C" w14:textId="0AECA510" w:rsidR="002F6DAA" w:rsidRPr="00F43996" w:rsidRDefault="004C1282" w:rsidP="005B1FD0">
      <w:pPr>
        <w:rPr>
          <w:szCs w:val="22"/>
        </w:rPr>
      </w:pPr>
      <w:r w:rsidRPr="00F43996">
        <w:rPr>
          <w:szCs w:val="22"/>
        </w:rPr>
        <w:t xml:space="preserve">Tento veterinární léčivý přípravek může způsobit hypersenzitivní reakce. </w:t>
      </w:r>
      <w:r w:rsidR="00E46B12">
        <w:rPr>
          <w:szCs w:val="22"/>
        </w:rPr>
        <w:t>Lidé</w:t>
      </w:r>
      <w:r w:rsidRPr="00F43996">
        <w:rPr>
          <w:szCs w:val="22"/>
        </w:rPr>
        <w:t xml:space="preserve"> se známou přecitlivělostí na milbemycin oxim/</w:t>
      </w:r>
      <w:proofErr w:type="spellStart"/>
      <w:r w:rsidRPr="00F43996">
        <w:rPr>
          <w:szCs w:val="22"/>
        </w:rPr>
        <w:t>praziquantel</w:t>
      </w:r>
      <w:proofErr w:type="spellEnd"/>
      <w:r w:rsidRPr="00F43996">
        <w:rPr>
          <w:szCs w:val="22"/>
        </w:rPr>
        <w:t xml:space="preserve"> by se měl</w:t>
      </w:r>
      <w:r w:rsidR="00E46B12">
        <w:rPr>
          <w:szCs w:val="22"/>
        </w:rPr>
        <w:t>i</w:t>
      </w:r>
      <w:r w:rsidRPr="00F43996">
        <w:rPr>
          <w:szCs w:val="22"/>
        </w:rPr>
        <w:t xml:space="preserve"> vy</w:t>
      </w:r>
      <w:r w:rsidR="00E46B12">
        <w:rPr>
          <w:szCs w:val="22"/>
        </w:rPr>
        <w:t xml:space="preserve">hnout </w:t>
      </w:r>
      <w:r w:rsidRPr="00F43996">
        <w:rPr>
          <w:szCs w:val="22"/>
        </w:rPr>
        <w:t>kontaktu s veterinárním léčivým přípravkem. V případě kontaktu si umyjte ruce a v případě hypersenzitivních reakcí vyhledejte lékařskou pomoc.</w:t>
      </w:r>
    </w:p>
    <w:p w14:paraId="117B7831" w14:textId="77777777" w:rsidR="009E54EA" w:rsidRPr="00427192" w:rsidRDefault="009E54EA" w:rsidP="009E54EA">
      <w:pPr>
        <w:rPr>
          <w:iCs/>
          <w:szCs w:val="22"/>
        </w:rPr>
      </w:pPr>
      <w:r w:rsidRPr="00427192">
        <w:t>Přípravek může být škodlivý v případě požití, zejména dítětem.</w:t>
      </w:r>
    </w:p>
    <w:p w14:paraId="48BEB57C" w14:textId="110E1463" w:rsidR="009E54EA" w:rsidRPr="00427192" w:rsidRDefault="009E54EA" w:rsidP="009E54EA">
      <w:pPr>
        <w:rPr>
          <w:iCs/>
          <w:szCs w:val="22"/>
        </w:rPr>
      </w:pPr>
      <w:r w:rsidRPr="00427192">
        <w:t xml:space="preserve">Aby se zabránilo náhodnému požití, </w:t>
      </w:r>
      <w:r w:rsidR="00E46B12">
        <w:t xml:space="preserve">uchovávejte </w:t>
      </w:r>
      <w:r w:rsidRPr="00427192">
        <w:t xml:space="preserve">přípravek mimo dohled a dosah dětí. </w:t>
      </w:r>
    </w:p>
    <w:p w14:paraId="57452D0A" w14:textId="77777777" w:rsidR="009E54EA" w:rsidRPr="00427192" w:rsidRDefault="009E54EA" w:rsidP="009E54EA">
      <w:pPr>
        <w:rPr>
          <w:iCs/>
          <w:szCs w:val="22"/>
        </w:rPr>
      </w:pPr>
      <w:r w:rsidRPr="00427192">
        <w:t>V případě náhodného požití tablet, především dítětem, vyhledejte ihned lékařskou pomoc a ukažte příbalovou informaci nebo etiketu praktickému lékaři.</w:t>
      </w:r>
    </w:p>
    <w:p w14:paraId="13DDAE0E" w14:textId="1D958B12" w:rsidR="009E54EA" w:rsidRPr="00427192" w:rsidRDefault="009E54EA" w:rsidP="009E54EA">
      <w:pPr>
        <w:rPr>
          <w:iCs/>
          <w:szCs w:val="22"/>
        </w:rPr>
      </w:pPr>
      <w:r w:rsidRPr="00427192">
        <w:t xml:space="preserve">Nepoužité </w:t>
      </w:r>
      <w:r w:rsidR="00E46B12">
        <w:t xml:space="preserve">části </w:t>
      </w:r>
      <w:r w:rsidRPr="00427192">
        <w:t>tablet</w:t>
      </w:r>
      <w:r w:rsidR="00E46B12">
        <w:t xml:space="preserve"> </w:t>
      </w:r>
      <w:r w:rsidRPr="00427192">
        <w:t>zlikvid</w:t>
      </w:r>
      <w:r w:rsidR="00E46B12">
        <w:t>ujte</w:t>
      </w:r>
      <w:r w:rsidRPr="00427192">
        <w:t>.</w:t>
      </w:r>
    </w:p>
    <w:p w14:paraId="3A6B0542" w14:textId="77777777" w:rsidR="009E54EA" w:rsidRPr="00427192" w:rsidRDefault="009E54EA" w:rsidP="009E54EA">
      <w:pPr>
        <w:tabs>
          <w:tab w:val="left" w:pos="851"/>
        </w:tabs>
        <w:ind w:left="720" w:hanging="720"/>
        <w:rPr>
          <w:iCs/>
          <w:szCs w:val="22"/>
        </w:rPr>
      </w:pPr>
      <w:r w:rsidRPr="00427192">
        <w:t>Po použití si umyjte ruce.</w:t>
      </w:r>
    </w:p>
    <w:p w14:paraId="02326C45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3E6CBD" w14:textId="0D04F6A0" w:rsidR="009E54EA" w:rsidRDefault="00B276F7" w:rsidP="009E54EA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0FB1A3A7" w14:textId="09DE17A9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r w:rsidRPr="00427192">
        <w:t>Echinokokóza představuje riziko pro člověka. Vzhledem k tomu, že echinokokóza podléhá ohlašovací povinnosti u Světové organizace pro zdraví zvířat (WOAH), je třeba získat od příslušného orgánu (např. od odborníků nebo ústavů parazitologie) konkrétní pokyny pro léčbu a následný postup a opatření pro ochranu osob.</w:t>
      </w:r>
    </w:p>
    <w:p w14:paraId="66C7A33A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386DCECE" w:rsidR="005B1FD0" w:rsidRPr="00B41D57" w:rsidRDefault="00B276F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3F49B796" w14:textId="57443651" w:rsidR="009E54EA" w:rsidRPr="00E46B12" w:rsidRDefault="00FA2CF2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Byla stanovena bezpečnost veterinárního léčivého přípravku pro použití během březosti a laktace.</w:t>
      </w:r>
    </w:p>
    <w:p w14:paraId="6C129502" w14:textId="1461ADCC" w:rsidR="005B1FD0" w:rsidRPr="00B41D57" w:rsidRDefault="009E54EA" w:rsidP="005B1FD0">
      <w:pPr>
        <w:tabs>
          <w:tab w:val="clear" w:pos="567"/>
        </w:tabs>
        <w:spacing w:line="240" w:lineRule="auto"/>
        <w:rPr>
          <w:szCs w:val="22"/>
        </w:rPr>
      </w:pPr>
      <w:r w:rsidRPr="00427192">
        <w:t>Lze použít během březosti a laktace</w:t>
      </w:r>
      <w:r w:rsidR="00FA2CF2">
        <w:t>.</w:t>
      </w:r>
    </w:p>
    <w:p w14:paraId="26581009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98B56C2" w14:textId="12761DBD" w:rsidR="009E54EA" w:rsidRDefault="00B276F7" w:rsidP="009E54EA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Plodnost</w:t>
      </w:r>
      <w:r w:rsidRPr="00B41D57">
        <w:t>:</w:t>
      </w:r>
    </w:p>
    <w:p w14:paraId="7A7D989F" w14:textId="0A14C30C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r w:rsidRPr="00427192">
        <w:t>Lze použít u plemenných zvířat.</w:t>
      </w:r>
    </w:p>
    <w:p w14:paraId="451BF070" w14:textId="77777777" w:rsidR="009E54EA" w:rsidRPr="00B41D57" w:rsidRDefault="009E54EA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B6ACDF8" w14:textId="585F8552" w:rsidR="005B1FD0" w:rsidRDefault="00B276F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5F3DACF6" w14:textId="77777777" w:rsidR="004C1282" w:rsidRDefault="004C1282" w:rsidP="004C1282">
      <w:pPr>
        <w:tabs>
          <w:tab w:val="clear" w:pos="567"/>
        </w:tabs>
        <w:spacing w:line="240" w:lineRule="auto"/>
      </w:pPr>
      <w:r>
        <w:t>Nebyly pozorovány žádné interakce při podávání doporučené dávky makrocyklického laktonu</w:t>
      </w:r>
    </w:p>
    <w:p w14:paraId="5C2142CA" w14:textId="116E8648" w:rsidR="004C1282" w:rsidRDefault="004C1282" w:rsidP="004C1282">
      <w:pPr>
        <w:tabs>
          <w:tab w:val="clear" w:pos="567"/>
        </w:tabs>
        <w:spacing w:line="240" w:lineRule="auto"/>
      </w:pPr>
      <w:r>
        <w:t xml:space="preserve">selamektinu během léčby doporučenou dávkou tímto </w:t>
      </w:r>
      <w:r w:rsidR="00FA2CF2">
        <w:t xml:space="preserve">veterinárním léčivým </w:t>
      </w:r>
      <w:r>
        <w:t>přípravkem.</w:t>
      </w:r>
    </w:p>
    <w:p w14:paraId="030C2F08" w14:textId="77777777" w:rsidR="004C1282" w:rsidRDefault="004C1282" w:rsidP="004C1282">
      <w:pPr>
        <w:tabs>
          <w:tab w:val="clear" w:pos="567"/>
        </w:tabs>
        <w:spacing w:line="240" w:lineRule="auto"/>
      </w:pPr>
      <w:r>
        <w:t>Ačkoli se to nedoporučuje, v jedné experimentální studii u psů plemene bígl ve věku 11 měsíců a</w:t>
      </w:r>
    </w:p>
    <w:p w14:paraId="13004C0F" w14:textId="7B66EFA9" w:rsidR="004C1282" w:rsidRDefault="004C1282" w:rsidP="004C1282">
      <w:pPr>
        <w:tabs>
          <w:tab w:val="clear" w:pos="567"/>
        </w:tabs>
        <w:spacing w:line="240" w:lineRule="auto"/>
      </w:pPr>
      <w:r>
        <w:t xml:space="preserve">starších bylo současné jednorázové použití tohoto </w:t>
      </w:r>
      <w:r w:rsidR="00FA2CF2">
        <w:t xml:space="preserve">veterinárního léčivého </w:t>
      </w:r>
      <w:r>
        <w:t>přípravku a spot-on přípravku s obsahem</w:t>
      </w:r>
      <w:r w:rsidR="00FA2CF2">
        <w:t xml:space="preserve"> </w:t>
      </w:r>
      <w:proofErr w:type="spellStart"/>
      <w:r>
        <w:t>moxidektinu</w:t>
      </w:r>
      <w:proofErr w:type="spellEnd"/>
      <w:r>
        <w:t xml:space="preserve"> a </w:t>
      </w:r>
      <w:proofErr w:type="spellStart"/>
      <w:r>
        <w:t>imidaklopridu</w:t>
      </w:r>
      <w:proofErr w:type="spellEnd"/>
      <w:r>
        <w:t xml:space="preserve"> v doporučených dávkách dobře tolerováno. Přechodné neurologické</w:t>
      </w:r>
      <w:r w:rsidR="00FA2CF2">
        <w:t xml:space="preserve"> </w:t>
      </w:r>
      <w:r>
        <w:t xml:space="preserve">nežádoucí účinky (nízká </w:t>
      </w:r>
      <w:proofErr w:type="spellStart"/>
      <w:r>
        <w:t>propriocepce</w:t>
      </w:r>
      <w:proofErr w:type="spellEnd"/>
      <w:r>
        <w:t>, slabost předních a zadních končetin, poruchy koordinace, lehký</w:t>
      </w:r>
      <w:r w:rsidR="00FA2CF2">
        <w:t xml:space="preserve"> </w:t>
      </w:r>
      <w:r>
        <w:t xml:space="preserve">třes a kohoutí krok zadních končetin) byly pozorovány po současném podání obou </w:t>
      </w:r>
      <w:r w:rsidR="00FA2CF2">
        <w:t xml:space="preserve">veterinárních léčivých </w:t>
      </w:r>
      <w:r>
        <w:t>přípravků v jiné</w:t>
      </w:r>
      <w:r w:rsidR="00FA2CF2">
        <w:t xml:space="preserve"> </w:t>
      </w:r>
      <w:r>
        <w:t>studii provedené na štěňatech ve věku od 8 do 12 týdnů. Takové příznaky však nebyly v této studii</w:t>
      </w:r>
      <w:r w:rsidR="00FA2CF2">
        <w:t xml:space="preserve"> </w:t>
      </w:r>
      <w:r>
        <w:t>pozorovány po podání samotného veterinárního léčivého přípravku.</w:t>
      </w:r>
    </w:p>
    <w:p w14:paraId="0D729466" w14:textId="77777777" w:rsidR="004C1282" w:rsidRDefault="004C1282" w:rsidP="004C1282">
      <w:pPr>
        <w:tabs>
          <w:tab w:val="clear" w:pos="567"/>
        </w:tabs>
        <w:spacing w:line="240" w:lineRule="auto"/>
      </w:pPr>
      <w:r>
        <w:t>Bezpečnost a účinnost této kombinace nebyla zkoumána v terénních studiích.</w:t>
      </w:r>
    </w:p>
    <w:p w14:paraId="03CDBDF0" w14:textId="37051E6E" w:rsidR="004C1282" w:rsidRPr="00427192" w:rsidRDefault="004C1282" w:rsidP="004C1282">
      <w:pPr>
        <w:tabs>
          <w:tab w:val="clear" w:pos="567"/>
        </w:tabs>
        <w:spacing w:line="240" w:lineRule="auto"/>
        <w:rPr>
          <w:szCs w:val="22"/>
        </w:rPr>
      </w:pPr>
      <w:r>
        <w:t>Vzhledem k absenci dalších studií je nutná opatrnost v případě současného užívání s jakýmkoli jiným makrocyklickým laktonem. Rovněž nebyly žádné podobné studie provedeny u zvířat</w:t>
      </w:r>
      <w:r w:rsidR="00FA2CF2">
        <w:t xml:space="preserve"> </w:t>
      </w:r>
      <w:r>
        <w:t>v reprodukci, u kolií, plemen příbuzných kolii a u jejich kříženců.</w:t>
      </w:r>
    </w:p>
    <w:p w14:paraId="706EA847" w14:textId="77777777" w:rsidR="009E54EA" w:rsidRPr="00B41D57" w:rsidRDefault="009E54EA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9B748E0" w14:textId="5A6D3B80" w:rsidR="005B1FD0" w:rsidRPr="00B41D57" w:rsidRDefault="00B276F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47FD16E" w14:textId="3393A5D0" w:rsidR="005B1FD0" w:rsidRDefault="00D36ACD" w:rsidP="00A9226B">
      <w:pPr>
        <w:tabs>
          <w:tab w:val="clear" w:pos="567"/>
        </w:tabs>
        <w:spacing w:line="240" w:lineRule="auto"/>
        <w:rPr>
          <w:szCs w:val="22"/>
        </w:rPr>
      </w:pPr>
      <w:r w:rsidRPr="00D36ACD">
        <w:lastRenderedPageBreak/>
        <w:t xml:space="preserve">Pozorované nežádoucí účinky jsou stejné jako ty pozorované při doporučené dávce (viz bod </w:t>
      </w:r>
      <w:r>
        <w:t>7</w:t>
      </w:r>
      <w:r w:rsidRPr="00D36ACD">
        <w:t xml:space="preserve"> „Nežádoucí účinky“), ale jsou výraznější.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B2F613" w14:textId="77777777" w:rsidR="009E54EA" w:rsidRPr="00427192" w:rsidRDefault="009E54EA" w:rsidP="009E54EA">
      <w:pPr>
        <w:tabs>
          <w:tab w:val="clear" w:pos="567"/>
        </w:tabs>
        <w:spacing w:line="240" w:lineRule="auto"/>
        <w:rPr>
          <w:szCs w:val="22"/>
        </w:rPr>
      </w:pPr>
      <w:r w:rsidRPr="00427192">
        <w:t>Psi:</w:t>
      </w:r>
    </w:p>
    <w:p w14:paraId="79971FB9" w14:textId="77777777" w:rsidR="009E54EA" w:rsidRPr="00427192" w:rsidRDefault="009E54EA" w:rsidP="009E54EA">
      <w:pPr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5804"/>
      </w:tblGrid>
      <w:tr w:rsidR="009E54EA" w:rsidRPr="00F76CFF" w14:paraId="147FB491" w14:textId="77777777" w:rsidTr="009E54EA">
        <w:tc>
          <w:tcPr>
            <w:tcW w:w="1797" w:type="pct"/>
          </w:tcPr>
          <w:p w14:paraId="35A900E8" w14:textId="77777777" w:rsidR="009E54EA" w:rsidRPr="00427192" w:rsidRDefault="009E54EA" w:rsidP="00E03DE0">
            <w:pPr>
              <w:spacing w:line="240" w:lineRule="auto"/>
              <w:rPr>
                <w:szCs w:val="22"/>
              </w:rPr>
            </w:pPr>
            <w:r w:rsidRPr="00427192">
              <w:t>Velmi vzácné</w:t>
            </w:r>
          </w:p>
          <w:p w14:paraId="2F949222" w14:textId="77777777" w:rsidR="009E54EA" w:rsidRPr="00F76CFF" w:rsidRDefault="009E54EA" w:rsidP="00E03DE0">
            <w:pPr>
              <w:spacing w:line="240" w:lineRule="auto"/>
              <w:rPr>
                <w:szCs w:val="22"/>
              </w:rPr>
            </w:pPr>
            <w:proofErr w:type="gramStart"/>
            <w:r w:rsidRPr="00427192">
              <w:t>(&lt; 1</w:t>
            </w:r>
            <w:proofErr w:type="gramEnd"/>
            <w:r w:rsidRPr="00427192">
              <w:t xml:space="preserve"> zvíře / 10 000 ošetřených zvířat, včetně ojedinělých hlášení):</w:t>
            </w:r>
          </w:p>
        </w:tc>
        <w:tc>
          <w:tcPr>
            <w:tcW w:w="3203" w:type="pct"/>
            <w:hideMark/>
          </w:tcPr>
          <w:p w14:paraId="71B6F19F" w14:textId="77777777" w:rsidR="009E54EA" w:rsidRPr="00427192" w:rsidRDefault="009E54EA" w:rsidP="00E03DE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7192">
              <w:rPr>
                <w:rFonts w:ascii="Times New Roman" w:hAnsi="Times New Roman"/>
                <w:color w:val="auto"/>
                <w:sz w:val="22"/>
              </w:rPr>
              <w:t xml:space="preserve">Poruchy trávicího traktu (např. průjem, slintání, zvracení) </w:t>
            </w:r>
          </w:p>
          <w:p w14:paraId="126067B6" w14:textId="77777777" w:rsidR="009E54EA" w:rsidRPr="00427192" w:rsidRDefault="009E54EA" w:rsidP="00E03DE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7192">
              <w:rPr>
                <w:rFonts w:ascii="Times New Roman" w:hAnsi="Times New Roman"/>
                <w:color w:val="auto"/>
                <w:sz w:val="22"/>
              </w:rPr>
              <w:t xml:space="preserve">Reakce z přecitlivělosti </w:t>
            </w:r>
          </w:p>
          <w:p w14:paraId="177769D7" w14:textId="77777777" w:rsidR="009E54EA" w:rsidRPr="00427192" w:rsidRDefault="009E54EA" w:rsidP="00E03DE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7192">
              <w:rPr>
                <w:rFonts w:ascii="Times New Roman" w:hAnsi="Times New Roman"/>
                <w:color w:val="auto"/>
                <w:sz w:val="22"/>
              </w:rPr>
              <w:t xml:space="preserve">Neurologické poruchy (např. ataxie, křeče, svalový třes) </w:t>
            </w:r>
          </w:p>
          <w:p w14:paraId="5B2423D6" w14:textId="77777777" w:rsidR="009E54EA" w:rsidRPr="00F76CFF" w:rsidRDefault="009E54EA" w:rsidP="00E03DE0">
            <w:pPr>
              <w:spacing w:line="240" w:lineRule="auto"/>
              <w:rPr>
                <w:iCs/>
                <w:szCs w:val="22"/>
              </w:rPr>
            </w:pPr>
            <w:r w:rsidRPr="00427192">
              <w:t xml:space="preserve">Systémové poruchy (např. anorexie, letargie) </w:t>
            </w:r>
          </w:p>
        </w:tc>
      </w:tr>
    </w:tbl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BF4B88" w14:textId="2B9079AA" w:rsidR="00E124D3" w:rsidRDefault="00B276F7" w:rsidP="009E54EA"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 xml:space="preserve">, a to i takové, které nejsou uvedeny v této příbalové informaci, nebo si myslíte, že léčivo nefunguje, obraťte se prosím nejprve na svého veterinárního lékaře. Nežádoucí účinky můžete hlásit také držitel rozhodnutí o registraci </w:t>
      </w:r>
      <w:r w:rsidR="003E6225">
        <w:t xml:space="preserve">nebo </w:t>
      </w:r>
      <w:r w:rsidRPr="00B41D57">
        <w:t>místní</w:t>
      </w:r>
      <w:r w:rsidR="00CB74BA">
        <w:t>mu</w:t>
      </w:r>
      <w:r w:rsidRPr="00B41D57">
        <w:t xml:space="preserve"> zástupc</w:t>
      </w:r>
      <w:r w:rsidR="00CB74BA">
        <w:t>i</w:t>
      </w:r>
      <w:r w:rsidRPr="00B41D57">
        <w:t xml:space="preserve"> držitele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9E54EA">
        <w:t>:</w:t>
      </w:r>
    </w:p>
    <w:p w14:paraId="5816C396" w14:textId="77777777" w:rsidR="00CB74BA" w:rsidRDefault="00CB74BA" w:rsidP="009E54EA">
      <w:pPr>
        <w:rPr>
          <w:b/>
          <w:bCs/>
          <w:noProof/>
          <w:szCs w:val="22"/>
        </w:rPr>
      </w:pPr>
    </w:p>
    <w:p w14:paraId="2B929428" w14:textId="4626C314" w:rsidR="009E54EA" w:rsidRPr="00B276F7" w:rsidRDefault="009E54EA" w:rsidP="009E54EA">
      <w:pPr>
        <w:rPr>
          <w:b/>
          <w:bCs/>
          <w:noProof/>
          <w:szCs w:val="22"/>
        </w:rPr>
      </w:pPr>
      <w:r w:rsidRPr="00B276F7">
        <w:rPr>
          <w:b/>
          <w:bCs/>
          <w:noProof/>
          <w:szCs w:val="22"/>
        </w:rPr>
        <w:t xml:space="preserve">Česká republika </w:t>
      </w:r>
    </w:p>
    <w:p w14:paraId="10052BCB" w14:textId="77777777" w:rsidR="00B276F7" w:rsidRDefault="009E54EA" w:rsidP="009E54EA">
      <w:pPr>
        <w:rPr>
          <w:noProof/>
          <w:szCs w:val="22"/>
        </w:rPr>
      </w:pPr>
      <w:r w:rsidRPr="009E54EA">
        <w:rPr>
          <w:noProof/>
          <w:szCs w:val="22"/>
        </w:rPr>
        <w:t xml:space="preserve">Ústav pro státní kontrolu veterinárních biopreparátů a léčiv  </w:t>
      </w:r>
    </w:p>
    <w:p w14:paraId="5852D775" w14:textId="34E5D742" w:rsidR="00B276F7" w:rsidRDefault="009E54EA" w:rsidP="009E54EA">
      <w:pPr>
        <w:rPr>
          <w:noProof/>
          <w:szCs w:val="22"/>
        </w:rPr>
      </w:pPr>
      <w:r w:rsidRPr="009E54EA">
        <w:rPr>
          <w:noProof/>
          <w:szCs w:val="22"/>
        </w:rPr>
        <w:t>Hudcova 56</w:t>
      </w:r>
      <w:r w:rsidR="006A5838">
        <w:rPr>
          <w:noProof/>
          <w:szCs w:val="22"/>
        </w:rPr>
        <w:t xml:space="preserve"> </w:t>
      </w:r>
      <w:r w:rsidRPr="009E54EA">
        <w:rPr>
          <w:noProof/>
          <w:szCs w:val="22"/>
        </w:rPr>
        <w:t xml:space="preserve">a  </w:t>
      </w:r>
    </w:p>
    <w:p w14:paraId="655269A9" w14:textId="77777777" w:rsidR="00B276F7" w:rsidRDefault="009E54EA" w:rsidP="009E54EA">
      <w:pPr>
        <w:rPr>
          <w:noProof/>
          <w:szCs w:val="22"/>
        </w:rPr>
      </w:pPr>
      <w:r w:rsidRPr="009E54EA">
        <w:rPr>
          <w:noProof/>
          <w:szCs w:val="22"/>
        </w:rPr>
        <w:t xml:space="preserve">621 00 Brno </w:t>
      </w:r>
    </w:p>
    <w:p w14:paraId="2A514CA6" w14:textId="60983244" w:rsidR="00CB74BA" w:rsidRDefault="006A5838" w:rsidP="009E54EA">
      <w:pPr>
        <w:rPr>
          <w:rStyle w:val="Hypertextovodkaz"/>
          <w:noProof/>
          <w:szCs w:val="22"/>
        </w:rPr>
      </w:pPr>
      <w:r>
        <w:rPr>
          <w:noProof/>
          <w:szCs w:val="22"/>
        </w:rPr>
        <w:t>E-m</w:t>
      </w:r>
      <w:r w:rsidR="009E54EA" w:rsidRPr="009E54EA">
        <w:rPr>
          <w:noProof/>
          <w:szCs w:val="22"/>
        </w:rPr>
        <w:t xml:space="preserve">ail: </w:t>
      </w:r>
      <w:hyperlink r:id="rId8" w:history="1">
        <w:r w:rsidR="00B276F7" w:rsidRPr="00963447">
          <w:rPr>
            <w:rStyle w:val="Hypertextovodkaz"/>
            <w:noProof/>
            <w:szCs w:val="22"/>
          </w:rPr>
          <w:t>adr@uskvbl.cz</w:t>
        </w:r>
      </w:hyperlink>
    </w:p>
    <w:p w14:paraId="624B31E5" w14:textId="13EBC582" w:rsidR="00B276F7" w:rsidRPr="00F43996" w:rsidRDefault="00CB74BA" w:rsidP="009E54EA">
      <w:r>
        <w:t>Tel.: +420 720 940 693</w:t>
      </w:r>
      <w:r w:rsidR="009E54EA" w:rsidRPr="009E54EA">
        <w:rPr>
          <w:noProof/>
          <w:szCs w:val="22"/>
        </w:rPr>
        <w:t xml:space="preserve"> </w:t>
      </w:r>
    </w:p>
    <w:p w14:paraId="6CE3DAB8" w14:textId="27391D08" w:rsidR="009E54EA" w:rsidRPr="00C341E6" w:rsidRDefault="009E54EA" w:rsidP="009E54EA">
      <w:pPr>
        <w:rPr>
          <w:noProof/>
          <w:szCs w:val="22"/>
        </w:rPr>
      </w:pPr>
      <w:r w:rsidRPr="009E54EA">
        <w:rPr>
          <w:noProof/>
          <w:szCs w:val="22"/>
        </w:rPr>
        <w:t xml:space="preserve">Webové stránky: </w:t>
      </w:r>
      <w:hyperlink r:id="rId9" w:history="1">
        <w:r w:rsidR="00B276F7" w:rsidRPr="00963447">
          <w:rPr>
            <w:rStyle w:val="Hypertextovodkaz"/>
            <w:noProof/>
            <w:szCs w:val="22"/>
          </w:rPr>
          <w:t>http://www.uskvbl.cz/cs/farmakovigilance</w:t>
        </w:r>
      </w:hyperlink>
      <w:r w:rsidR="00B276F7">
        <w:rPr>
          <w:noProof/>
          <w:szCs w:val="22"/>
        </w:rPr>
        <w:t xml:space="preserve"> </w:t>
      </w: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9268F1" w14:textId="77777777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 xml:space="preserve">Perorální podání. </w:t>
      </w:r>
    </w:p>
    <w:p w14:paraId="2CD0AED5" w14:textId="5D23D22A" w:rsidR="00B276F7" w:rsidRPr="00427192" w:rsidRDefault="00B276F7" w:rsidP="00B276F7">
      <w:pPr>
        <w:spacing w:line="240" w:lineRule="auto"/>
        <w:rPr>
          <w:iCs/>
          <w:szCs w:val="22"/>
        </w:rPr>
      </w:pPr>
      <w:r w:rsidRPr="00427192">
        <w:t xml:space="preserve">Minimální doporučená dávka je jednorázové podání 0,5 mg milbemycinoximu a 5 mg </w:t>
      </w:r>
      <w:proofErr w:type="spellStart"/>
      <w:r w:rsidRPr="00427192">
        <w:t>prazikvantelu</w:t>
      </w:r>
      <w:proofErr w:type="spellEnd"/>
      <w:r w:rsidR="00FA2CF2">
        <w:t>/</w:t>
      </w:r>
      <w:r w:rsidRPr="00427192">
        <w:t xml:space="preserve">kg živé hmotnosti. </w:t>
      </w:r>
    </w:p>
    <w:p w14:paraId="5CCFED94" w14:textId="42426EA6" w:rsidR="00B276F7" w:rsidRPr="00427192" w:rsidRDefault="00B276F7" w:rsidP="00B276F7">
      <w:pPr>
        <w:spacing w:line="240" w:lineRule="auto"/>
        <w:rPr>
          <w:iCs/>
          <w:szCs w:val="22"/>
        </w:rPr>
      </w:pPr>
      <w:r w:rsidRPr="00427192">
        <w:t>Veterinární léčivý přípravek by měl být podán s krmivem nebo po krmení.</w:t>
      </w:r>
    </w:p>
    <w:p w14:paraId="2FDA3C8E" w14:textId="77777777" w:rsidR="00B276F7" w:rsidRPr="00B41D57" w:rsidRDefault="00B276F7" w:rsidP="00B276F7">
      <w:pPr>
        <w:rPr>
          <w:szCs w:val="22"/>
        </w:rPr>
      </w:pPr>
      <w:r w:rsidRPr="00B41D57">
        <w:t>Pro zajištění správného dávkování je třeba co nejpřesněji stanovit živou hmotnost.</w:t>
      </w:r>
    </w:p>
    <w:p w14:paraId="6251DBBD" w14:textId="77777777" w:rsidR="00B276F7" w:rsidRDefault="00B276F7" w:rsidP="00B276F7">
      <w:pPr>
        <w:tabs>
          <w:tab w:val="clear" w:pos="567"/>
        </w:tabs>
        <w:spacing w:line="240" w:lineRule="auto"/>
        <w:rPr>
          <w:szCs w:val="22"/>
        </w:rPr>
      </w:pPr>
    </w:p>
    <w:p w14:paraId="7967DECA" w14:textId="099BA489" w:rsidR="00B276F7" w:rsidRPr="00427192" w:rsidRDefault="00FA2CF2" w:rsidP="00B276F7">
      <w:pPr>
        <w:spacing w:line="240" w:lineRule="auto"/>
        <w:rPr>
          <w:iCs/>
          <w:szCs w:val="22"/>
        </w:rPr>
      </w:pPr>
      <w:proofErr w:type="spellStart"/>
      <w:r>
        <w:t>Pod</w:t>
      </w:r>
      <w:r w:rsidR="00B276F7" w:rsidRPr="00427192">
        <w:t>dávkování</w:t>
      </w:r>
      <w:proofErr w:type="spellEnd"/>
      <w:r w:rsidR="00B276F7" w:rsidRPr="00427192">
        <w:t xml:space="preserve"> by mohlo vést k neúčinnému použití a mohlo by podpořit rozvoj rezistence. </w:t>
      </w:r>
    </w:p>
    <w:p w14:paraId="20DAD243" w14:textId="77777777" w:rsidR="00B276F7" w:rsidRPr="00427192" w:rsidRDefault="00B276F7" w:rsidP="00B276F7">
      <w:pPr>
        <w:spacing w:line="240" w:lineRule="auto"/>
        <w:rPr>
          <w:bCs/>
          <w:iCs/>
          <w:szCs w:val="22"/>
          <w:lang w:eastAsia="en-GB"/>
        </w:rPr>
      </w:pPr>
    </w:p>
    <w:p w14:paraId="05C116F4" w14:textId="77777777" w:rsidR="00B276F7" w:rsidRPr="00427192" w:rsidRDefault="00B276F7" w:rsidP="00B276F7">
      <w:pPr>
        <w:spacing w:line="240" w:lineRule="auto"/>
        <w:rPr>
          <w:b/>
          <w:iCs/>
          <w:szCs w:val="22"/>
        </w:rPr>
      </w:pPr>
      <w:r w:rsidRPr="00427192">
        <w:t>V závislosti na živé hmotnosti psa je praktické následující dávkování:</w:t>
      </w:r>
    </w:p>
    <w:p w14:paraId="5B9A5479" w14:textId="77777777" w:rsidR="00B276F7" w:rsidRPr="00427192" w:rsidRDefault="00B276F7" w:rsidP="00B276F7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3473"/>
        <w:gridCol w:w="3473"/>
      </w:tblGrid>
      <w:tr w:rsidR="00D36ACD" w:rsidRPr="00EC5962" w14:paraId="11470F02" w14:textId="77777777" w:rsidTr="00D36ACD">
        <w:tc>
          <w:tcPr>
            <w:tcW w:w="1838" w:type="dxa"/>
          </w:tcPr>
          <w:p w14:paraId="10FF3102" w14:textId="7E84F173" w:rsidR="00D36ACD" w:rsidRPr="00EC5962" w:rsidRDefault="00D36ACD" w:rsidP="000C2F54">
            <w:pPr>
              <w:tabs>
                <w:tab w:val="clear" w:pos="567"/>
              </w:tabs>
              <w:spacing w:line="240" w:lineRule="auto"/>
              <w:rPr>
                <w:szCs w:val="22"/>
                <w:lang w:val="en-IE" w:eastAsia="en-GB"/>
              </w:rPr>
            </w:pPr>
            <w:proofErr w:type="spellStart"/>
            <w:r>
              <w:rPr>
                <w:b/>
                <w:bCs/>
                <w:szCs w:val="22"/>
                <w:lang w:val="en-IE" w:eastAsia="en-GB"/>
              </w:rPr>
              <w:t>H</w:t>
            </w:r>
            <w:r w:rsidRPr="00D36ACD">
              <w:rPr>
                <w:b/>
                <w:bCs/>
                <w:szCs w:val="22"/>
                <w:lang w:val="en-IE" w:eastAsia="en-GB"/>
              </w:rPr>
              <w:t>motnost</w:t>
            </w:r>
            <w:proofErr w:type="spellEnd"/>
          </w:p>
        </w:tc>
        <w:tc>
          <w:tcPr>
            <w:tcW w:w="3473" w:type="dxa"/>
          </w:tcPr>
          <w:p w14:paraId="0DE72D68" w14:textId="6C4F6B8A" w:rsidR="00D36ACD" w:rsidRPr="00D36ACD" w:rsidRDefault="00D36ACD" w:rsidP="00D36AC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en-IE" w:eastAsia="en-GB"/>
              </w:rPr>
            </w:pPr>
            <w:r w:rsidRPr="00EC5962">
              <w:rPr>
                <w:b/>
                <w:bCs/>
                <w:szCs w:val="22"/>
                <w:lang w:val="en-IE" w:eastAsia="en-GB"/>
              </w:rPr>
              <w:t>2</w:t>
            </w:r>
            <w:r>
              <w:rPr>
                <w:b/>
                <w:bCs/>
                <w:szCs w:val="22"/>
                <w:lang w:val="en-IE" w:eastAsia="en-GB"/>
              </w:rPr>
              <w:t>,</w:t>
            </w:r>
            <w:r w:rsidRPr="00EC5962">
              <w:rPr>
                <w:b/>
                <w:bCs/>
                <w:szCs w:val="22"/>
                <w:lang w:val="en-IE" w:eastAsia="en-GB"/>
              </w:rPr>
              <w:t xml:space="preserve">5/25 mg </w:t>
            </w:r>
            <w:proofErr w:type="spellStart"/>
            <w:r w:rsidRPr="00D36ACD">
              <w:rPr>
                <w:b/>
                <w:bCs/>
                <w:szCs w:val="22"/>
                <w:lang w:val="en-IE" w:eastAsia="en-GB"/>
              </w:rPr>
              <w:t>žvýkací</w:t>
            </w:r>
            <w:proofErr w:type="spellEnd"/>
            <w:r w:rsidRPr="00D36ACD">
              <w:rPr>
                <w:b/>
                <w:bCs/>
                <w:szCs w:val="22"/>
                <w:lang w:val="en-IE" w:eastAsia="en-GB"/>
              </w:rPr>
              <w:t xml:space="preserve"> </w:t>
            </w:r>
            <w:proofErr w:type="spellStart"/>
            <w:r w:rsidRPr="00D36ACD">
              <w:rPr>
                <w:b/>
                <w:bCs/>
                <w:szCs w:val="22"/>
                <w:lang w:val="en-IE" w:eastAsia="en-GB"/>
              </w:rPr>
              <w:t>tablety</w:t>
            </w:r>
            <w:proofErr w:type="spellEnd"/>
          </w:p>
          <w:p w14:paraId="2A1EC3A9" w14:textId="78C5A447" w:rsidR="00D36ACD" w:rsidRPr="00EC5962" w:rsidRDefault="00D36ACD" w:rsidP="00D36AC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en-IE" w:eastAsia="en-GB"/>
              </w:rPr>
            </w:pPr>
            <w:r w:rsidRPr="00D36ACD">
              <w:rPr>
                <w:b/>
                <w:bCs/>
                <w:szCs w:val="22"/>
                <w:lang w:val="en-IE" w:eastAsia="en-GB"/>
              </w:rPr>
              <w:t xml:space="preserve">pro </w:t>
            </w:r>
            <w:proofErr w:type="spellStart"/>
            <w:r w:rsidRPr="00D36ACD">
              <w:rPr>
                <w:b/>
                <w:bCs/>
                <w:szCs w:val="22"/>
                <w:lang w:val="en-IE" w:eastAsia="en-GB"/>
              </w:rPr>
              <w:t>malé</w:t>
            </w:r>
            <w:proofErr w:type="spellEnd"/>
            <w:r w:rsidRPr="00D36ACD">
              <w:rPr>
                <w:b/>
                <w:bCs/>
                <w:szCs w:val="22"/>
                <w:lang w:val="en-IE" w:eastAsia="en-GB"/>
              </w:rPr>
              <w:t xml:space="preserve"> </w:t>
            </w:r>
            <w:proofErr w:type="spellStart"/>
            <w:r w:rsidRPr="00D36ACD">
              <w:rPr>
                <w:b/>
                <w:bCs/>
                <w:szCs w:val="22"/>
                <w:lang w:val="en-IE" w:eastAsia="en-GB"/>
              </w:rPr>
              <w:t>psy</w:t>
            </w:r>
            <w:proofErr w:type="spellEnd"/>
            <w:r w:rsidRPr="00D36ACD">
              <w:rPr>
                <w:b/>
                <w:bCs/>
                <w:szCs w:val="22"/>
                <w:lang w:val="en-IE" w:eastAsia="en-GB"/>
              </w:rPr>
              <w:t xml:space="preserve"> a </w:t>
            </w:r>
            <w:proofErr w:type="spellStart"/>
            <w:r w:rsidRPr="00D36ACD">
              <w:rPr>
                <w:b/>
                <w:bCs/>
                <w:szCs w:val="22"/>
                <w:lang w:val="en-IE" w:eastAsia="en-GB"/>
              </w:rPr>
              <w:t>štěňata</w:t>
            </w:r>
            <w:proofErr w:type="spellEnd"/>
          </w:p>
        </w:tc>
        <w:tc>
          <w:tcPr>
            <w:tcW w:w="3473" w:type="dxa"/>
          </w:tcPr>
          <w:p w14:paraId="273B1148" w14:textId="77777777" w:rsidR="00D36ACD" w:rsidRPr="00D36ACD" w:rsidRDefault="00D36ACD" w:rsidP="00D36AC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en-IE" w:eastAsia="en-GB"/>
              </w:rPr>
            </w:pPr>
            <w:r w:rsidRPr="00EC5962">
              <w:rPr>
                <w:b/>
                <w:bCs/>
                <w:szCs w:val="22"/>
                <w:lang w:val="en-IE" w:eastAsia="en-GB"/>
              </w:rPr>
              <w:t>12</w:t>
            </w:r>
            <w:r>
              <w:rPr>
                <w:b/>
                <w:bCs/>
                <w:szCs w:val="22"/>
                <w:lang w:val="en-IE" w:eastAsia="en-GB"/>
              </w:rPr>
              <w:t>,</w:t>
            </w:r>
            <w:r w:rsidRPr="00EC5962">
              <w:rPr>
                <w:b/>
                <w:bCs/>
                <w:szCs w:val="22"/>
                <w:lang w:val="en-IE" w:eastAsia="en-GB"/>
              </w:rPr>
              <w:t xml:space="preserve">5/125 mg </w:t>
            </w:r>
            <w:proofErr w:type="spellStart"/>
            <w:r w:rsidRPr="00D36ACD">
              <w:rPr>
                <w:b/>
                <w:bCs/>
                <w:szCs w:val="22"/>
                <w:lang w:val="en-IE" w:eastAsia="en-GB"/>
              </w:rPr>
              <w:t>žvýkací</w:t>
            </w:r>
            <w:proofErr w:type="spellEnd"/>
            <w:r w:rsidRPr="00D36ACD">
              <w:rPr>
                <w:b/>
                <w:bCs/>
                <w:szCs w:val="22"/>
                <w:lang w:val="en-IE" w:eastAsia="en-GB"/>
              </w:rPr>
              <w:t xml:space="preserve"> </w:t>
            </w:r>
            <w:proofErr w:type="spellStart"/>
            <w:r w:rsidRPr="00D36ACD">
              <w:rPr>
                <w:b/>
                <w:bCs/>
                <w:szCs w:val="22"/>
                <w:lang w:val="en-IE" w:eastAsia="en-GB"/>
              </w:rPr>
              <w:t>tablety</w:t>
            </w:r>
            <w:proofErr w:type="spellEnd"/>
          </w:p>
          <w:p w14:paraId="6602B783" w14:textId="2012B5A6" w:rsidR="00D36ACD" w:rsidRPr="00EC5962" w:rsidRDefault="00D36ACD" w:rsidP="00D36ACD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en-IE" w:eastAsia="en-GB"/>
              </w:rPr>
            </w:pPr>
            <w:r w:rsidRPr="00D36ACD">
              <w:rPr>
                <w:b/>
                <w:bCs/>
                <w:szCs w:val="22"/>
                <w:lang w:val="en-IE" w:eastAsia="en-GB"/>
              </w:rPr>
              <w:t xml:space="preserve">pro </w:t>
            </w:r>
            <w:proofErr w:type="spellStart"/>
            <w:r w:rsidRPr="00D36ACD">
              <w:rPr>
                <w:b/>
                <w:bCs/>
                <w:szCs w:val="22"/>
                <w:lang w:val="en-IE" w:eastAsia="en-GB"/>
              </w:rPr>
              <w:t>psy</w:t>
            </w:r>
            <w:proofErr w:type="spellEnd"/>
          </w:p>
        </w:tc>
      </w:tr>
      <w:tr w:rsidR="00D36ACD" w:rsidRPr="00EC5962" w14:paraId="1B409168" w14:textId="77777777" w:rsidTr="00D36ACD">
        <w:tc>
          <w:tcPr>
            <w:tcW w:w="1838" w:type="dxa"/>
          </w:tcPr>
          <w:p w14:paraId="6E178136" w14:textId="32160DDF" w:rsidR="00D36ACD" w:rsidRPr="00EC5962" w:rsidRDefault="00D36ACD" w:rsidP="000C2F54">
            <w:pPr>
              <w:tabs>
                <w:tab w:val="clear" w:pos="567"/>
              </w:tabs>
              <w:spacing w:line="240" w:lineRule="auto"/>
              <w:rPr>
                <w:szCs w:val="22"/>
                <w:lang w:val="en-IE" w:eastAsia="en-GB"/>
              </w:rPr>
            </w:pPr>
            <w:r>
              <w:rPr>
                <w:szCs w:val="22"/>
                <w:lang w:val="en-IE" w:eastAsia="en-GB"/>
              </w:rPr>
              <w:t xml:space="preserve">   </w:t>
            </w:r>
            <w:r w:rsidRPr="00EC5962">
              <w:rPr>
                <w:szCs w:val="22"/>
                <w:lang w:val="en-IE" w:eastAsia="en-GB"/>
              </w:rPr>
              <w:t>1-5 kg</w:t>
            </w:r>
          </w:p>
        </w:tc>
        <w:tc>
          <w:tcPr>
            <w:tcW w:w="3473" w:type="dxa"/>
          </w:tcPr>
          <w:p w14:paraId="16C4EB62" w14:textId="131F04E6" w:rsidR="00D36ACD" w:rsidRPr="00EC5962" w:rsidRDefault="00D36ACD" w:rsidP="000C2F5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en-IE" w:eastAsia="en-GB"/>
              </w:rPr>
            </w:pPr>
            <w:r w:rsidRPr="00EC5962">
              <w:rPr>
                <w:szCs w:val="22"/>
                <w:lang w:val="en-IE" w:eastAsia="en-GB"/>
              </w:rPr>
              <w:t xml:space="preserve">1 </w:t>
            </w:r>
            <w:proofErr w:type="spellStart"/>
            <w:r w:rsidRPr="00D36ACD">
              <w:rPr>
                <w:szCs w:val="22"/>
                <w:lang w:val="en-IE" w:eastAsia="en-GB"/>
              </w:rPr>
              <w:t>žvýkací</w:t>
            </w:r>
            <w:proofErr w:type="spellEnd"/>
            <w:r w:rsidRPr="00D36ACD">
              <w:rPr>
                <w:szCs w:val="22"/>
                <w:lang w:val="en-IE" w:eastAsia="en-GB"/>
              </w:rPr>
              <w:t xml:space="preserve"> </w:t>
            </w:r>
            <w:proofErr w:type="spellStart"/>
            <w:r w:rsidRPr="00D36ACD">
              <w:rPr>
                <w:szCs w:val="22"/>
                <w:lang w:val="en-IE" w:eastAsia="en-GB"/>
              </w:rPr>
              <w:t>tableta</w:t>
            </w:r>
            <w:proofErr w:type="spellEnd"/>
          </w:p>
        </w:tc>
        <w:tc>
          <w:tcPr>
            <w:tcW w:w="3473" w:type="dxa"/>
          </w:tcPr>
          <w:p w14:paraId="1B86BE55" w14:textId="77777777" w:rsidR="00D36ACD" w:rsidRPr="00EC5962" w:rsidRDefault="00D36ACD" w:rsidP="000C2F5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en-IE" w:eastAsia="en-GB"/>
              </w:rPr>
            </w:pPr>
          </w:p>
        </w:tc>
      </w:tr>
      <w:tr w:rsidR="00D36ACD" w:rsidRPr="00EC5962" w14:paraId="29434033" w14:textId="77777777" w:rsidTr="00D36ACD">
        <w:tc>
          <w:tcPr>
            <w:tcW w:w="1838" w:type="dxa"/>
          </w:tcPr>
          <w:p w14:paraId="1717040C" w14:textId="6014B0C2" w:rsidR="00D36ACD" w:rsidRPr="00EC5962" w:rsidRDefault="00D36ACD" w:rsidP="000C2F54">
            <w:pPr>
              <w:tabs>
                <w:tab w:val="clear" w:pos="567"/>
              </w:tabs>
              <w:spacing w:line="240" w:lineRule="auto"/>
              <w:rPr>
                <w:szCs w:val="22"/>
                <w:lang w:val="en-IE" w:eastAsia="en-GB"/>
              </w:rPr>
            </w:pPr>
            <w:r w:rsidRPr="00EC5962">
              <w:rPr>
                <w:szCs w:val="22"/>
                <w:lang w:val="en-IE" w:eastAsia="en-GB"/>
              </w:rPr>
              <w:t>&gt; 5-25 kg</w:t>
            </w:r>
          </w:p>
        </w:tc>
        <w:tc>
          <w:tcPr>
            <w:tcW w:w="3473" w:type="dxa"/>
          </w:tcPr>
          <w:p w14:paraId="6902FBDA" w14:textId="77777777" w:rsidR="00D36ACD" w:rsidRPr="00EC5962" w:rsidRDefault="00D36ACD" w:rsidP="000C2F5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en-IE" w:eastAsia="en-GB"/>
              </w:rPr>
            </w:pPr>
          </w:p>
        </w:tc>
        <w:tc>
          <w:tcPr>
            <w:tcW w:w="3473" w:type="dxa"/>
          </w:tcPr>
          <w:p w14:paraId="3284BC94" w14:textId="14CDF3EC" w:rsidR="00D36ACD" w:rsidRPr="00EC5962" w:rsidRDefault="00D36ACD" w:rsidP="000C2F5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en-IE" w:eastAsia="en-GB"/>
              </w:rPr>
            </w:pPr>
            <w:r w:rsidRPr="00EC5962">
              <w:rPr>
                <w:szCs w:val="22"/>
                <w:lang w:val="en-IE" w:eastAsia="en-GB"/>
              </w:rPr>
              <w:t xml:space="preserve">1 </w:t>
            </w:r>
            <w:proofErr w:type="spellStart"/>
            <w:r w:rsidRPr="00D36ACD">
              <w:rPr>
                <w:szCs w:val="22"/>
                <w:lang w:val="en-IE" w:eastAsia="en-GB"/>
              </w:rPr>
              <w:t>žvýkací</w:t>
            </w:r>
            <w:proofErr w:type="spellEnd"/>
            <w:r w:rsidRPr="00D36ACD">
              <w:rPr>
                <w:szCs w:val="22"/>
                <w:lang w:val="en-IE" w:eastAsia="en-GB"/>
              </w:rPr>
              <w:t xml:space="preserve"> </w:t>
            </w:r>
            <w:proofErr w:type="spellStart"/>
            <w:r w:rsidRPr="00D36ACD">
              <w:rPr>
                <w:szCs w:val="22"/>
                <w:lang w:val="en-IE" w:eastAsia="en-GB"/>
              </w:rPr>
              <w:t>tableta</w:t>
            </w:r>
            <w:proofErr w:type="spellEnd"/>
          </w:p>
        </w:tc>
      </w:tr>
      <w:tr w:rsidR="00D36ACD" w:rsidRPr="00EC5962" w14:paraId="7B1508AB" w14:textId="77777777" w:rsidTr="00D36ACD">
        <w:tc>
          <w:tcPr>
            <w:tcW w:w="1838" w:type="dxa"/>
          </w:tcPr>
          <w:p w14:paraId="1402B47B" w14:textId="4D31A108" w:rsidR="00D36ACD" w:rsidRPr="00EC5962" w:rsidRDefault="00D36ACD" w:rsidP="000C2F54">
            <w:pPr>
              <w:tabs>
                <w:tab w:val="clear" w:pos="567"/>
              </w:tabs>
              <w:spacing w:line="240" w:lineRule="auto"/>
              <w:rPr>
                <w:szCs w:val="22"/>
                <w:lang w:val="en-IE" w:eastAsia="en-GB"/>
              </w:rPr>
            </w:pPr>
            <w:r w:rsidRPr="00EC5962">
              <w:rPr>
                <w:szCs w:val="22"/>
                <w:lang w:val="en-IE" w:eastAsia="en-GB"/>
              </w:rPr>
              <w:t>&gt; 25-50 kg</w:t>
            </w:r>
          </w:p>
        </w:tc>
        <w:tc>
          <w:tcPr>
            <w:tcW w:w="3473" w:type="dxa"/>
          </w:tcPr>
          <w:p w14:paraId="46D27EE4" w14:textId="77777777" w:rsidR="00D36ACD" w:rsidRPr="00EC5962" w:rsidRDefault="00D36ACD" w:rsidP="000C2F5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en-IE" w:eastAsia="en-GB"/>
              </w:rPr>
            </w:pPr>
          </w:p>
        </w:tc>
        <w:tc>
          <w:tcPr>
            <w:tcW w:w="3473" w:type="dxa"/>
          </w:tcPr>
          <w:p w14:paraId="145AD11D" w14:textId="1E25A541" w:rsidR="00D36ACD" w:rsidRPr="00EC5962" w:rsidRDefault="00D36ACD" w:rsidP="000C2F5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en-IE" w:eastAsia="en-GB"/>
              </w:rPr>
            </w:pPr>
            <w:r w:rsidRPr="00EC5962">
              <w:rPr>
                <w:szCs w:val="22"/>
                <w:lang w:val="en-IE" w:eastAsia="en-GB"/>
              </w:rPr>
              <w:t xml:space="preserve">2 </w:t>
            </w:r>
            <w:proofErr w:type="spellStart"/>
            <w:r w:rsidRPr="00D36ACD">
              <w:rPr>
                <w:szCs w:val="22"/>
                <w:lang w:val="en-IE" w:eastAsia="en-GB"/>
              </w:rPr>
              <w:t>žvýkací</w:t>
            </w:r>
            <w:proofErr w:type="spellEnd"/>
            <w:r w:rsidRPr="00D36ACD">
              <w:rPr>
                <w:szCs w:val="22"/>
                <w:lang w:val="en-IE" w:eastAsia="en-GB"/>
              </w:rPr>
              <w:t xml:space="preserve"> </w:t>
            </w:r>
            <w:proofErr w:type="spellStart"/>
            <w:r w:rsidRPr="00D36ACD">
              <w:rPr>
                <w:szCs w:val="22"/>
                <w:lang w:val="en-IE" w:eastAsia="en-GB"/>
              </w:rPr>
              <w:t>tablet</w:t>
            </w:r>
            <w:r>
              <w:rPr>
                <w:szCs w:val="22"/>
                <w:lang w:val="en-IE" w:eastAsia="en-GB"/>
              </w:rPr>
              <w:t>y</w:t>
            </w:r>
            <w:proofErr w:type="spellEnd"/>
          </w:p>
        </w:tc>
      </w:tr>
      <w:tr w:rsidR="00D36ACD" w:rsidRPr="00EC5962" w14:paraId="4E1CED07" w14:textId="77777777" w:rsidTr="00D36ACD">
        <w:tc>
          <w:tcPr>
            <w:tcW w:w="1838" w:type="dxa"/>
          </w:tcPr>
          <w:p w14:paraId="70FA7EBB" w14:textId="6292C50F" w:rsidR="00D36ACD" w:rsidRPr="00EC5962" w:rsidRDefault="00D36ACD" w:rsidP="000C2F54">
            <w:pPr>
              <w:tabs>
                <w:tab w:val="clear" w:pos="567"/>
              </w:tabs>
              <w:spacing w:line="240" w:lineRule="auto"/>
              <w:rPr>
                <w:szCs w:val="22"/>
                <w:lang w:val="en-IE" w:eastAsia="en-GB"/>
              </w:rPr>
            </w:pPr>
            <w:r w:rsidRPr="00EC5962">
              <w:rPr>
                <w:szCs w:val="22"/>
                <w:lang w:val="en-IE" w:eastAsia="en-GB"/>
              </w:rPr>
              <w:t>&gt; 50-75 kg</w:t>
            </w:r>
          </w:p>
        </w:tc>
        <w:tc>
          <w:tcPr>
            <w:tcW w:w="3473" w:type="dxa"/>
          </w:tcPr>
          <w:p w14:paraId="54DCBA74" w14:textId="77777777" w:rsidR="00D36ACD" w:rsidRPr="00EC5962" w:rsidRDefault="00D36ACD" w:rsidP="000C2F5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3473" w:type="dxa"/>
          </w:tcPr>
          <w:p w14:paraId="32E9CAFC" w14:textId="78E921EA" w:rsidR="00D36ACD" w:rsidRPr="00EC5962" w:rsidRDefault="00D36ACD" w:rsidP="000C2F54">
            <w:pPr>
              <w:tabs>
                <w:tab w:val="clear" w:pos="567"/>
              </w:tabs>
              <w:spacing w:line="240" w:lineRule="auto"/>
              <w:rPr>
                <w:szCs w:val="22"/>
                <w:lang w:val="en-IE" w:eastAsia="en-GB"/>
              </w:rPr>
            </w:pPr>
            <w:r w:rsidRPr="00EC5962">
              <w:rPr>
                <w:szCs w:val="22"/>
                <w:lang w:val="en-IE" w:eastAsia="en-GB"/>
              </w:rPr>
              <w:t xml:space="preserve">3 </w:t>
            </w:r>
            <w:proofErr w:type="spellStart"/>
            <w:r w:rsidRPr="00D36ACD">
              <w:rPr>
                <w:szCs w:val="22"/>
                <w:lang w:val="en-IE" w:eastAsia="en-GB"/>
              </w:rPr>
              <w:t>žvýkací</w:t>
            </w:r>
            <w:proofErr w:type="spellEnd"/>
            <w:r w:rsidRPr="00D36ACD">
              <w:rPr>
                <w:szCs w:val="22"/>
                <w:lang w:val="en-IE" w:eastAsia="en-GB"/>
              </w:rPr>
              <w:t xml:space="preserve"> </w:t>
            </w:r>
            <w:proofErr w:type="spellStart"/>
            <w:r w:rsidRPr="00D36ACD">
              <w:rPr>
                <w:szCs w:val="22"/>
                <w:lang w:val="en-IE" w:eastAsia="en-GB"/>
              </w:rPr>
              <w:t>tablet</w:t>
            </w:r>
            <w:r>
              <w:rPr>
                <w:szCs w:val="22"/>
                <w:lang w:val="en-IE" w:eastAsia="en-GB"/>
              </w:rPr>
              <w:t>y</w:t>
            </w:r>
            <w:proofErr w:type="spellEnd"/>
          </w:p>
        </w:tc>
      </w:tr>
    </w:tbl>
    <w:p w14:paraId="0ECA0DFB" w14:textId="77777777" w:rsidR="00B276F7" w:rsidRPr="00427192" w:rsidRDefault="00B276F7" w:rsidP="00B276F7">
      <w:pPr>
        <w:tabs>
          <w:tab w:val="clear" w:pos="567"/>
        </w:tabs>
        <w:spacing w:line="240" w:lineRule="auto"/>
        <w:rPr>
          <w:szCs w:val="22"/>
          <w:lang w:val="en-IE" w:eastAsia="en-GB"/>
        </w:rPr>
      </w:pPr>
    </w:p>
    <w:p w14:paraId="78870B61" w14:textId="219A289E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 xml:space="preserve">V případě použití při prevenci </w:t>
      </w:r>
      <w:r w:rsidR="00424199">
        <w:t xml:space="preserve">srdeční </w:t>
      </w:r>
      <w:proofErr w:type="spellStart"/>
      <w:r w:rsidRPr="00427192">
        <w:t>dirofilariózy</w:t>
      </w:r>
      <w:proofErr w:type="spellEnd"/>
      <w:r w:rsidRPr="00427192">
        <w:t xml:space="preserve"> a je-li současně požadováno ošetření proti tasemnicím, veterinární léčivý přípravek může nahradit monovalentní přípravek pro prevenci </w:t>
      </w:r>
      <w:r w:rsidR="00424199">
        <w:t xml:space="preserve">srdeční </w:t>
      </w:r>
      <w:proofErr w:type="spellStart"/>
      <w:r w:rsidRPr="00427192">
        <w:t>dirofilariózy</w:t>
      </w:r>
      <w:proofErr w:type="spellEnd"/>
      <w:r w:rsidRPr="00427192">
        <w:t>.</w:t>
      </w:r>
    </w:p>
    <w:p w14:paraId="6FCC8717" w14:textId="77777777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IE" w:eastAsia="en-GB"/>
        </w:rPr>
      </w:pPr>
    </w:p>
    <w:p w14:paraId="14676B21" w14:textId="139A05D5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 xml:space="preserve">Při léčbě infekce vyvolané </w:t>
      </w:r>
      <w:r w:rsidRPr="00427192">
        <w:rPr>
          <w:i/>
        </w:rPr>
        <w:t xml:space="preserve">Angiostrongylus vasorum </w:t>
      </w:r>
      <w:r w:rsidRPr="00427192">
        <w:t xml:space="preserve">by měl být milbemycinoxim podáván čtyřikrát v týdenních intervalech. Pokud je indikována souběžná léčba proti tasemnicím, doporučuje se ošetřit jednou </w:t>
      </w:r>
      <w:r w:rsidR="00A03F12">
        <w:t xml:space="preserve">veterinárním léčivým </w:t>
      </w:r>
      <w:r w:rsidRPr="00427192">
        <w:t xml:space="preserve">přípravkem a dále pokračovat v léčbě monovalentním přípravkem obsahujícím samotný </w:t>
      </w:r>
      <w:proofErr w:type="spellStart"/>
      <w:r w:rsidRPr="00427192">
        <w:t>milbemycinoxim</w:t>
      </w:r>
      <w:proofErr w:type="spellEnd"/>
      <w:r w:rsidRPr="00427192">
        <w:t xml:space="preserve"> </w:t>
      </w:r>
      <w:r w:rsidR="00A03F12">
        <w:t>během</w:t>
      </w:r>
      <w:r w:rsidR="00A03F12" w:rsidRPr="00427192">
        <w:t xml:space="preserve"> </w:t>
      </w:r>
      <w:r w:rsidRPr="00427192">
        <w:t>zbývající</w:t>
      </w:r>
      <w:r w:rsidR="00A03F12">
        <w:t>ch</w:t>
      </w:r>
      <w:r w:rsidRPr="00427192">
        <w:t xml:space="preserve"> tř</w:t>
      </w:r>
      <w:r w:rsidR="00A03F12">
        <w:t>í</w:t>
      </w:r>
      <w:r w:rsidRPr="00427192">
        <w:t xml:space="preserve"> aplikac</w:t>
      </w:r>
      <w:r w:rsidR="00A03F12">
        <w:t>í</w:t>
      </w:r>
      <w:r w:rsidRPr="00427192">
        <w:t>.</w:t>
      </w:r>
    </w:p>
    <w:p w14:paraId="5E858882" w14:textId="77777777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43D2D3EB" w14:textId="023A0F09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lastRenderedPageBreak/>
        <w:t xml:space="preserve">Podávání </w:t>
      </w:r>
      <w:r w:rsidR="00A03F12">
        <w:t xml:space="preserve">veterinárního léčivého </w:t>
      </w:r>
      <w:r w:rsidRPr="00427192">
        <w:t xml:space="preserve">přípravku každý čtvrtý týden v endemických oblastech bude působit preventivně na snížení počtu </w:t>
      </w:r>
      <w:r w:rsidR="00424199">
        <w:t>juvenilní</w:t>
      </w:r>
      <w:r w:rsidR="00A03F12">
        <w:t>ch</w:t>
      </w:r>
      <w:r w:rsidR="00A03F12" w:rsidRPr="00427192">
        <w:t xml:space="preserve"> </w:t>
      </w:r>
      <w:r w:rsidRPr="00427192">
        <w:t>stádií (L5) a dospěl</w:t>
      </w:r>
      <w:r w:rsidR="00A03F12">
        <w:t>ců</w:t>
      </w:r>
      <w:r w:rsidRPr="00427192">
        <w:t xml:space="preserve"> parazitů tam</w:t>
      </w:r>
      <w:r w:rsidR="00A03F12">
        <w:t>,</w:t>
      </w:r>
      <w:r w:rsidRPr="00427192">
        <w:t xml:space="preserve"> kde je současně indikována léčba proti tasemnicím.</w:t>
      </w:r>
    </w:p>
    <w:p w14:paraId="0A18BF68" w14:textId="77777777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7273B4DF" w14:textId="77777777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 xml:space="preserve">Při léčbě infekce způsobené </w:t>
      </w:r>
      <w:r w:rsidRPr="00427192">
        <w:rPr>
          <w:i/>
        </w:rPr>
        <w:t xml:space="preserve">Thelazia callipaeda </w:t>
      </w:r>
      <w:r w:rsidRPr="00427192">
        <w:t>by měl být milbemycinoxim léčebně podáván dvakrát v odstupu 7 dnů. Pokud je indikována souběžná léčba proti tasemnicím, může veterinární léčivý přípravek nahradit monovalentní přípravek obsahující samotný milbemycinoxim.</w:t>
      </w:r>
    </w:p>
    <w:p w14:paraId="5BEEC2C6" w14:textId="77777777" w:rsidR="00B276F7" w:rsidRDefault="00B276F7" w:rsidP="00B276F7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363E0D6" w14:textId="085F6F44" w:rsidR="00B276F7" w:rsidRPr="00427192" w:rsidRDefault="00A03F12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Veterinární léčivý p</w:t>
      </w:r>
      <w:r w:rsidR="00B276F7" w:rsidRPr="00427192">
        <w:t>řípravek se podává jednorázově perorálně s krmivem nebo po krmení.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B276F7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8A46D9" w14:textId="77777777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bookmarkStart w:id="0" w:name="_Hlk164931662"/>
      <w:r w:rsidRPr="00427192">
        <w:t>Neuplatňuje se.</w:t>
      </w:r>
      <w:bookmarkEnd w:id="0"/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B276F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89135B8" w14:textId="1C847A36" w:rsidR="00D36ACD" w:rsidRPr="00B41D57" w:rsidRDefault="00D36ACD" w:rsidP="00B276F7">
      <w:pPr>
        <w:pStyle w:val="Style5"/>
      </w:pPr>
      <w:r w:rsidRPr="00D36ACD">
        <w:t>Uchovávejte při teplotě do 30°C.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503C3083" w:rsidR="00C114FF" w:rsidRPr="00B41D57" w:rsidRDefault="00B276F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tento veterinární léčivý přípravek po uplynutí doby použitelnosti uvedené na krabičce </w:t>
      </w:r>
      <w:r>
        <w:t>a blistr</w:t>
      </w:r>
      <w:r w:rsidR="009D2089">
        <w:t>u</w:t>
      </w:r>
      <w:r>
        <w:t xml:space="preserve">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Pr="00B41D57">
        <w:t>. 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B276F7" w:rsidP="00C67C77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C67C7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18AF4852" w:rsidR="00C114FF" w:rsidRPr="00B41D57" w:rsidRDefault="00B276F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AC333" w14:textId="41DBF1B3" w:rsidR="00B276F7" w:rsidRPr="00B41D57" w:rsidRDefault="00B276F7" w:rsidP="00B276F7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 xml:space="preserve">Tento veterinární léčivý přípravek nesmí kontaminovat vodní toky, protože </w:t>
      </w:r>
      <w:r w:rsidR="00C67C77">
        <w:t xml:space="preserve">může </w:t>
      </w:r>
      <w:r w:rsidRPr="00B41D57">
        <w:t>být nebezpečn</w:t>
      </w:r>
      <w:r w:rsidR="00C67C77">
        <w:t>ý</w:t>
      </w:r>
      <w:r w:rsidRPr="00B41D57">
        <w:t xml:space="preserve"> pro ryby a další vodní organismy.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B276F7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09491C6E" w:rsidR="00C114FF" w:rsidRPr="00B41D57" w:rsidRDefault="00B276F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B276F7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D0B7F1" w14:textId="77777777" w:rsidR="00B276F7" w:rsidRPr="00B41D57" w:rsidRDefault="00B276F7" w:rsidP="00B276F7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B276F7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8AEDB4" w14:textId="6EDE2968" w:rsidR="00B276F7" w:rsidRDefault="00F43996" w:rsidP="00B276F7">
      <w:pPr>
        <w:pStyle w:val="Default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96/057/</w:t>
      </w:r>
      <w:proofErr w:type="gramStart"/>
      <w:r>
        <w:rPr>
          <w:rFonts w:ascii="Times New Roman" w:hAnsi="Times New Roman"/>
          <w:color w:val="auto"/>
          <w:sz w:val="22"/>
        </w:rPr>
        <w:t>25-C</w:t>
      </w:r>
      <w:proofErr w:type="gramEnd"/>
    </w:p>
    <w:p w14:paraId="5BE77909" w14:textId="224B2488" w:rsidR="00F43996" w:rsidRDefault="00F43996" w:rsidP="00B276F7">
      <w:pPr>
        <w:pStyle w:val="Default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96/056/</w:t>
      </w:r>
      <w:proofErr w:type="gramStart"/>
      <w:r>
        <w:rPr>
          <w:rFonts w:ascii="Times New Roman" w:hAnsi="Times New Roman"/>
          <w:color w:val="auto"/>
          <w:sz w:val="22"/>
        </w:rPr>
        <w:t>25-C</w:t>
      </w:r>
      <w:proofErr w:type="gramEnd"/>
    </w:p>
    <w:p w14:paraId="5BAE7807" w14:textId="77777777" w:rsidR="00B276F7" w:rsidRPr="002673C0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4F3F9396" w14:textId="77777777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27192">
        <w:rPr>
          <w:u w:val="single"/>
        </w:rPr>
        <w:t>Velikosti balení:</w:t>
      </w:r>
    </w:p>
    <w:p w14:paraId="07468E25" w14:textId="77777777" w:rsidR="009D2089" w:rsidRDefault="009D2089" w:rsidP="009D2089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t>Kartonová krabička obsahující 2 tablety (1 blistr se 2 tabletami).</w:t>
      </w:r>
    </w:p>
    <w:p w14:paraId="38C7CACD" w14:textId="77777777" w:rsidR="009D2089" w:rsidRDefault="009D2089" w:rsidP="009D2089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t>Kartonová krabička obsahující 4 tablety (2 blistry se 2 tabletami nebo 1 blistr se 4 tabletami).</w:t>
      </w:r>
    </w:p>
    <w:p w14:paraId="63BBFE80" w14:textId="5DE4251A" w:rsidR="009D2089" w:rsidRDefault="009D2089" w:rsidP="009D2089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t>Kartonová krabička obsahující 5 tablet (1 blistr s 5 tabletami)</w:t>
      </w:r>
    </w:p>
    <w:p w14:paraId="3E1F6125" w14:textId="074053DC" w:rsidR="009D2089" w:rsidRDefault="009D2089" w:rsidP="009D2089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t>Kartonová krabička obsahující 10 tablet (5 blistrů se 2 tabletami nebo 2 blistry s 5 tabletami).</w:t>
      </w:r>
    </w:p>
    <w:p w14:paraId="54DEB0D1" w14:textId="49DDDDA3" w:rsidR="009D2089" w:rsidRDefault="009D2089" w:rsidP="009D2089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t>Kartonová krabička obsahující 12 tablet (6 blistrů se 2 tabletami nebo 3 blistry se 4 tabletami).</w:t>
      </w:r>
    </w:p>
    <w:p w14:paraId="7E321CBC" w14:textId="5F8C9153" w:rsidR="009D2089" w:rsidRDefault="009D2089" w:rsidP="009D2089">
      <w:pPr>
        <w:pStyle w:val="Textkomente"/>
        <w:spacing w:line="240" w:lineRule="auto"/>
        <w:ind w:right="-285"/>
        <w:rPr>
          <w:rFonts w:eastAsia="Aptos"/>
          <w:sz w:val="22"/>
          <w:szCs w:val="22"/>
        </w:rPr>
      </w:pPr>
      <w:r>
        <w:rPr>
          <w:sz w:val="22"/>
        </w:rPr>
        <w:t>Kartonová krabička obsahující 15 tablet (3 blistry s 5 tabletami).</w:t>
      </w:r>
    </w:p>
    <w:p w14:paraId="63855E31" w14:textId="2EB01890" w:rsidR="009D2089" w:rsidRDefault="009D2089" w:rsidP="009D2089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t>Kartonová krabička obsahující 20 tablet (10 blistrů se 2 tabletami nebo 5 blistrů se 4 tabletami).</w:t>
      </w:r>
    </w:p>
    <w:p w14:paraId="0E7B6E6C" w14:textId="34AB0602" w:rsidR="009D2089" w:rsidRDefault="009D2089" w:rsidP="009D2089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t>Kartonová krabička obsahující 24 tablet (12 blistrů se 2 tabletami nebo 6 blistrů se 4 tabletami).</w:t>
      </w:r>
    </w:p>
    <w:p w14:paraId="3047D8F0" w14:textId="20124F53" w:rsidR="009D2089" w:rsidRDefault="009D2089" w:rsidP="009D2089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lastRenderedPageBreak/>
        <w:t>Kartonová krabička obsahující 25 tablet (5 blistrů s 5 tabletami).</w:t>
      </w:r>
    </w:p>
    <w:p w14:paraId="4F5A2F67" w14:textId="7979D966" w:rsidR="009D2089" w:rsidRDefault="009D2089" w:rsidP="009D2089">
      <w:pPr>
        <w:pStyle w:val="Textkomente"/>
        <w:spacing w:line="240" w:lineRule="auto"/>
        <w:ind w:right="-285"/>
        <w:rPr>
          <w:rFonts w:eastAsia="Aptos"/>
          <w:sz w:val="22"/>
          <w:szCs w:val="22"/>
        </w:rPr>
      </w:pPr>
      <w:r>
        <w:rPr>
          <w:sz w:val="22"/>
        </w:rPr>
        <w:t>Kartonová krabička obsahující 30 tablet (6 blistrů s 5 tabletami).</w:t>
      </w:r>
    </w:p>
    <w:p w14:paraId="51D94F72" w14:textId="52960B60" w:rsidR="009D2089" w:rsidRDefault="009D2089" w:rsidP="009D2089">
      <w:pPr>
        <w:pStyle w:val="Textkomente"/>
        <w:spacing w:line="240" w:lineRule="auto"/>
        <w:ind w:right="-285"/>
        <w:rPr>
          <w:rFonts w:eastAsia="Aptos"/>
          <w:sz w:val="22"/>
          <w:szCs w:val="22"/>
        </w:rPr>
      </w:pPr>
      <w:r>
        <w:rPr>
          <w:sz w:val="22"/>
        </w:rPr>
        <w:t>Kartonová krabička obsahující 35 tablet (7 blistrů s 5 tabletami).</w:t>
      </w:r>
    </w:p>
    <w:p w14:paraId="18C997C4" w14:textId="613F3C50" w:rsidR="009D2089" w:rsidRDefault="009D2089" w:rsidP="009D2089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t>Kartonová krabička obsahující 40 tablet (8 blistrů s 5 tabletami).</w:t>
      </w:r>
    </w:p>
    <w:p w14:paraId="08CFFB65" w14:textId="51F9AC1E" w:rsidR="009D2089" w:rsidRDefault="009D2089" w:rsidP="009D2089">
      <w:pPr>
        <w:pStyle w:val="Textkomente"/>
        <w:spacing w:line="240" w:lineRule="auto"/>
        <w:rPr>
          <w:sz w:val="22"/>
        </w:rPr>
      </w:pPr>
      <w:r>
        <w:rPr>
          <w:sz w:val="22"/>
        </w:rPr>
        <w:t>Kartonová krabička obsahující 45 tablet (9 blistrů s 5 tabletami).</w:t>
      </w:r>
    </w:p>
    <w:p w14:paraId="2DEC0638" w14:textId="724CD9AE" w:rsidR="009D2089" w:rsidRDefault="009D2089" w:rsidP="009D2089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rFonts w:eastAsia="Aptos"/>
          <w:sz w:val="22"/>
          <w:szCs w:val="22"/>
        </w:rPr>
        <w:t xml:space="preserve">Kartonová krabička obsahující 48 tablet (24 </w:t>
      </w:r>
      <w:r>
        <w:rPr>
          <w:sz w:val="22"/>
        </w:rPr>
        <w:t xml:space="preserve">blistrů </w:t>
      </w:r>
      <w:r>
        <w:rPr>
          <w:rFonts w:eastAsia="Aptos"/>
          <w:sz w:val="22"/>
          <w:szCs w:val="22"/>
        </w:rPr>
        <w:t xml:space="preserve">se 2 tabletami nebo 12 </w:t>
      </w:r>
      <w:r>
        <w:rPr>
          <w:sz w:val="22"/>
        </w:rPr>
        <w:t xml:space="preserve">blistrů </w:t>
      </w:r>
      <w:r>
        <w:rPr>
          <w:rFonts w:eastAsia="Aptos"/>
          <w:sz w:val="22"/>
          <w:szCs w:val="22"/>
        </w:rPr>
        <w:t>se 4 tabletami).</w:t>
      </w:r>
    </w:p>
    <w:p w14:paraId="52B7527B" w14:textId="0947DFCD" w:rsidR="009D2089" w:rsidRDefault="009D2089" w:rsidP="009D2089">
      <w:pPr>
        <w:pStyle w:val="Textkomente"/>
        <w:spacing w:line="240" w:lineRule="auto"/>
        <w:rPr>
          <w:rFonts w:eastAsia="Aptos"/>
          <w:sz w:val="22"/>
          <w:szCs w:val="22"/>
        </w:rPr>
      </w:pPr>
      <w:r>
        <w:rPr>
          <w:sz w:val="22"/>
        </w:rPr>
        <w:t>Kartonová krabička obsahující 50 tablet (10 blistrů s 5 tabletami).</w:t>
      </w:r>
    </w:p>
    <w:p w14:paraId="2E0901DB" w14:textId="77777777" w:rsidR="00D36ACD" w:rsidRDefault="00D36ACD" w:rsidP="00DB468A">
      <w:pPr>
        <w:tabs>
          <w:tab w:val="clear" w:pos="567"/>
        </w:tabs>
        <w:spacing w:line="240" w:lineRule="auto"/>
      </w:pPr>
    </w:p>
    <w:p w14:paraId="076793AB" w14:textId="3C694857" w:rsidR="00DB468A" w:rsidRPr="00B41D57" w:rsidRDefault="00B276F7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B276F7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89E1E9" w14:textId="10F92452" w:rsidR="00DB468A" w:rsidRPr="00B41D57" w:rsidRDefault="00424199" w:rsidP="00DB468A">
      <w:pPr>
        <w:rPr>
          <w:szCs w:val="22"/>
        </w:rPr>
      </w:pPr>
      <w:r>
        <w:t>1</w:t>
      </w:r>
      <w:r w:rsidR="00F43996">
        <w:t>1/</w:t>
      </w:r>
      <w:bookmarkStart w:id="1" w:name="_GoBack"/>
      <w:bookmarkEnd w:id="1"/>
      <w:r w:rsidR="00A03F12">
        <w:t>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B276F7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23572EF1" w14:textId="77777777" w:rsidR="00B276F7" w:rsidRDefault="00B276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9A4FD8" w14:textId="77777777" w:rsidR="00A03F12" w:rsidRPr="00C672C7" w:rsidRDefault="00A03F12" w:rsidP="00A03F12">
      <w:pPr>
        <w:spacing w:line="240" w:lineRule="auto"/>
      </w:pPr>
      <w:bookmarkStart w:id="2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2"/>
    <w:p w14:paraId="2DF032E6" w14:textId="77777777" w:rsidR="00B276F7" w:rsidRPr="00B41D57" w:rsidRDefault="00B276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B276F7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3379DF31" w:rsidR="00DB468A" w:rsidRPr="00B41D57" w:rsidRDefault="00B276F7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bookmarkEnd w:id="3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D94C58" w14:textId="77777777" w:rsidR="00B276F7" w:rsidRPr="00F76CFF" w:rsidRDefault="00B276F7" w:rsidP="00B276F7">
      <w:pPr>
        <w:tabs>
          <w:tab w:val="clear" w:pos="567"/>
        </w:tabs>
        <w:spacing w:line="240" w:lineRule="auto"/>
        <w:rPr>
          <w:szCs w:val="22"/>
        </w:rPr>
      </w:pPr>
      <w:r w:rsidRPr="00F76CFF">
        <w:rPr>
          <w:szCs w:val="22"/>
        </w:rPr>
        <w:t xml:space="preserve">Chanelle Pharmaceuticals Manufacturing </w:t>
      </w:r>
      <w:r>
        <w:rPr>
          <w:szCs w:val="22"/>
        </w:rPr>
        <w:t>L</w:t>
      </w:r>
      <w:r w:rsidRPr="00F76CFF">
        <w:rPr>
          <w:szCs w:val="22"/>
        </w:rPr>
        <w:t>td.,</w:t>
      </w:r>
    </w:p>
    <w:p w14:paraId="6652C187" w14:textId="77777777" w:rsidR="00B276F7" w:rsidRPr="00F76CFF" w:rsidRDefault="00B276F7" w:rsidP="00B276F7">
      <w:pPr>
        <w:tabs>
          <w:tab w:val="clear" w:pos="567"/>
        </w:tabs>
        <w:spacing w:line="240" w:lineRule="auto"/>
        <w:rPr>
          <w:szCs w:val="22"/>
        </w:rPr>
      </w:pPr>
      <w:r w:rsidRPr="00F76CFF">
        <w:rPr>
          <w:szCs w:val="22"/>
        </w:rPr>
        <w:t xml:space="preserve">Loughrea, </w:t>
      </w:r>
    </w:p>
    <w:p w14:paraId="0FD75819" w14:textId="77777777" w:rsidR="00B276F7" w:rsidRPr="00F76CFF" w:rsidRDefault="00B276F7" w:rsidP="00B276F7">
      <w:pPr>
        <w:tabs>
          <w:tab w:val="clear" w:pos="567"/>
        </w:tabs>
        <w:spacing w:line="240" w:lineRule="auto"/>
        <w:rPr>
          <w:szCs w:val="22"/>
        </w:rPr>
      </w:pPr>
      <w:r w:rsidRPr="00F76CFF">
        <w:rPr>
          <w:szCs w:val="22"/>
        </w:rPr>
        <w:t xml:space="preserve">Co. Galway, </w:t>
      </w:r>
    </w:p>
    <w:p w14:paraId="6E42D256" w14:textId="77777777" w:rsidR="00B276F7" w:rsidRPr="00B276F7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GB"/>
        </w:rPr>
      </w:pPr>
      <w:r w:rsidRPr="00B276F7">
        <w:rPr>
          <w:szCs w:val="22"/>
        </w:rPr>
        <w:t>Irsko</w:t>
      </w:r>
    </w:p>
    <w:p w14:paraId="7783858E" w14:textId="77777777" w:rsidR="00B276F7" w:rsidRPr="00F76CFF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lang w:val="en-IE"/>
        </w:rPr>
      </w:pPr>
      <w:r w:rsidRPr="00F76CFF">
        <w:rPr>
          <w:rFonts w:eastAsiaTheme="minorHAnsi"/>
          <w:szCs w:val="22"/>
          <w:lang w:val="en-IE"/>
        </w:rPr>
        <w:t>Telephone: +353 (0)91 841788</w:t>
      </w:r>
    </w:p>
    <w:p w14:paraId="0BA78C6E" w14:textId="77777777" w:rsidR="00B276F7" w:rsidRPr="00F76CFF" w:rsidRDefault="00E455E0" w:rsidP="00B276F7">
      <w:pPr>
        <w:autoSpaceDE w:val="0"/>
        <w:autoSpaceDN w:val="0"/>
        <w:adjustRightInd w:val="0"/>
        <w:spacing w:line="240" w:lineRule="auto"/>
        <w:rPr>
          <w:rFonts w:eastAsiaTheme="minorHAnsi"/>
          <w:szCs w:val="22"/>
          <w:lang w:val="en-IE"/>
        </w:rPr>
      </w:pPr>
      <w:hyperlink r:id="rId12" w:history="1">
        <w:r w:rsidR="00B276F7" w:rsidRPr="00F76CFF">
          <w:rPr>
            <w:rStyle w:val="Hypertextovodkaz"/>
            <w:rFonts w:eastAsiaTheme="minorHAnsi"/>
            <w:color w:val="auto"/>
            <w:szCs w:val="22"/>
            <w:lang w:val="en-IE"/>
          </w:rPr>
          <w:t>vetpharmacoviggroup@chanellegroup.ie</w:t>
        </w:r>
      </w:hyperlink>
    </w:p>
    <w:p w14:paraId="6D33D0AC" w14:textId="77777777" w:rsidR="00B276F7" w:rsidRPr="00B41D57" w:rsidRDefault="00B276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54CC2C19" w:rsidR="000D67D0" w:rsidRPr="00B41D57" w:rsidRDefault="00B276F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69447B1E" w14:textId="77777777" w:rsidR="00B276F7" w:rsidRPr="00B41D57" w:rsidRDefault="00B276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5D83666E" w:rsidR="00BB2539" w:rsidRPr="00B41D57" w:rsidRDefault="00B276F7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77F3FAFE" w14:textId="77777777" w:rsidR="00B276F7" w:rsidRPr="00427192" w:rsidRDefault="00B276F7" w:rsidP="00B276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27192">
        <w:t>Neuplatňuje se.</w:t>
      </w:r>
    </w:p>
    <w:p w14:paraId="1C86BC56" w14:textId="77777777" w:rsidR="00B276F7" w:rsidRPr="00B41D57" w:rsidRDefault="00B276F7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B276F7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24254" w14:textId="77777777" w:rsidR="00E455E0" w:rsidRDefault="00E455E0">
      <w:pPr>
        <w:spacing w:line="240" w:lineRule="auto"/>
      </w:pPr>
      <w:r>
        <w:separator/>
      </w:r>
    </w:p>
  </w:endnote>
  <w:endnote w:type="continuationSeparator" w:id="0">
    <w:p w14:paraId="3F7E2E99" w14:textId="77777777" w:rsidR="00E455E0" w:rsidRDefault="00E45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B276F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B276F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3EBB0" w14:textId="77777777" w:rsidR="00E455E0" w:rsidRDefault="00E455E0">
      <w:pPr>
        <w:spacing w:line="240" w:lineRule="auto"/>
      </w:pPr>
      <w:r>
        <w:separator/>
      </w:r>
    </w:p>
  </w:footnote>
  <w:footnote w:type="continuationSeparator" w:id="0">
    <w:p w14:paraId="42D1A2E4" w14:textId="77777777" w:rsidR="00E455E0" w:rsidRDefault="00E455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030BF" w14:textId="3DB4AEB1" w:rsidR="00DE5CEE" w:rsidRDefault="00DE5CEE" w:rsidP="00DE5CEE">
    <w:pPr>
      <w:pStyle w:val="Zhlav"/>
    </w:pPr>
    <w:r w:rsidRPr="00C24F5C">
      <w:t xml:space="preserve"> </w:t>
    </w:r>
  </w:p>
  <w:p w14:paraId="25804546" w14:textId="77777777" w:rsidR="00DE5CEE" w:rsidRDefault="00DE5C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8C2F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9CF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E817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C8B4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4C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980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461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EAF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EF5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36288C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F8E4F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061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B69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C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308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FEF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A4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E67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83E70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A4009E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798C0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4A28A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301FE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D0E45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9565B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682F8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40CAC9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792E4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4143C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32AC4A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DF26B7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974A9E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95ABF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13CB9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D2498F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74036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B94E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C842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7EA2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FE1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0647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FE1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105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EB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EE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B6E5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46CE2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90A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88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290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9E9A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4AF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720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56A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50C82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9861E5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50C7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C5C4C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89424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E98AD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AC80C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9025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EF0D1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03EC0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3DE9D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C87C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4EF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81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AE0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CB6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47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A42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6B8011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46514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B121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E2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4E78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800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FA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FE6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C07D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724DE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0A6EC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EAC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42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A18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C2FA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22C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FC50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CE78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3F4B0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627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38D5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86A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AF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945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C29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4F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6A4E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A7090B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DD470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A88B4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DF437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692033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EC62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2AA23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5CCA1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1B0948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1309CA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DAAC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D67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BC2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66B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80D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6E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6E48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7061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AF85E1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DB866E8" w:tentative="1">
      <w:start w:val="1"/>
      <w:numFmt w:val="lowerLetter"/>
      <w:lvlText w:val="%2."/>
      <w:lvlJc w:val="left"/>
      <w:pPr>
        <w:ind w:left="1440" w:hanging="360"/>
      </w:pPr>
    </w:lvl>
    <w:lvl w:ilvl="2" w:tplc="6C8EFDE0" w:tentative="1">
      <w:start w:val="1"/>
      <w:numFmt w:val="lowerRoman"/>
      <w:lvlText w:val="%3."/>
      <w:lvlJc w:val="right"/>
      <w:pPr>
        <w:ind w:left="2160" w:hanging="180"/>
      </w:pPr>
    </w:lvl>
    <w:lvl w:ilvl="3" w:tplc="3FB214B4" w:tentative="1">
      <w:start w:val="1"/>
      <w:numFmt w:val="decimal"/>
      <w:lvlText w:val="%4."/>
      <w:lvlJc w:val="left"/>
      <w:pPr>
        <w:ind w:left="2880" w:hanging="360"/>
      </w:pPr>
    </w:lvl>
    <w:lvl w:ilvl="4" w:tplc="7E54C56E" w:tentative="1">
      <w:start w:val="1"/>
      <w:numFmt w:val="lowerLetter"/>
      <w:lvlText w:val="%5."/>
      <w:lvlJc w:val="left"/>
      <w:pPr>
        <w:ind w:left="3600" w:hanging="360"/>
      </w:pPr>
    </w:lvl>
    <w:lvl w:ilvl="5" w:tplc="87484150" w:tentative="1">
      <w:start w:val="1"/>
      <w:numFmt w:val="lowerRoman"/>
      <w:lvlText w:val="%6."/>
      <w:lvlJc w:val="right"/>
      <w:pPr>
        <w:ind w:left="4320" w:hanging="180"/>
      </w:pPr>
    </w:lvl>
    <w:lvl w:ilvl="6" w:tplc="26E801EA" w:tentative="1">
      <w:start w:val="1"/>
      <w:numFmt w:val="decimal"/>
      <w:lvlText w:val="%7."/>
      <w:lvlJc w:val="left"/>
      <w:pPr>
        <w:ind w:left="5040" w:hanging="360"/>
      </w:pPr>
    </w:lvl>
    <w:lvl w:ilvl="7" w:tplc="C7FA70DC" w:tentative="1">
      <w:start w:val="1"/>
      <w:numFmt w:val="lowerLetter"/>
      <w:lvlText w:val="%8."/>
      <w:lvlJc w:val="left"/>
      <w:pPr>
        <w:ind w:left="5760" w:hanging="360"/>
      </w:pPr>
    </w:lvl>
    <w:lvl w:ilvl="8" w:tplc="024C6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8D813F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D7486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64E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D4B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226D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3453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86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123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F457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22EE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23D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263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166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C1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D641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8E6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89C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A8B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5A2C1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83288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FADB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FC9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E63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70B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402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4A48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89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0BEA0E0">
      <w:start w:val="1"/>
      <w:numFmt w:val="decimal"/>
      <w:lvlText w:val="%1."/>
      <w:lvlJc w:val="left"/>
      <w:pPr>
        <w:ind w:left="720" w:hanging="360"/>
      </w:pPr>
    </w:lvl>
    <w:lvl w:ilvl="1" w:tplc="1D8AA372" w:tentative="1">
      <w:start w:val="1"/>
      <w:numFmt w:val="lowerLetter"/>
      <w:lvlText w:val="%2."/>
      <w:lvlJc w:val="left"/>
      <w:pPr>
        <w:ind w:left="1440" w:hanging="360"/>
      </w:pPr>
    </w:lvl>
    <w:lvl w:ilvl="2" w:tplc="BC7C8A64" w:tentative="1">
      <w:start w:val="1"/>
      <w:numFmt w:val="lowerRoman"/>
      <w:lvlText w:val="%3."/>
      <w:lvlJc w:val="right"/>
      <w:pPr>
        <w:ind w:left="2160" w:hanging="180"/>
      </w:pPr>
    </w:lvl>
    <w:lvl w:ilvl="3" w:tplc="AB822668" w:tentative="1">
      <w:start w:val="1"/>
      <w:numFmt w:val="decimal"/>
      <w:lvlText w:val="%4."/>
      <w:lvlJc w:val="left"/>
      <w:pPr>
        <w:ind w:left="2880" w:hanging="360"/>
      </w:pPr>
    </w:lvl>
    <w:lvl w:ilvl="4" w:tplc="BEE857BA" w:tentative="1">
      <w:start w:val="1"/>
      <w:numFmt w:val="lowerLetter"/>
      <w:lvlText w:val="%5."/>
      <w:lvlJc w:val="left"/>
      <w:pPr>
        <w:ind w:left="3600" w:hanging="360"/>
      </w:pPr>
    </w:lvl>
    <w:lvl w:ilvl="5" w:tplc="E30244D8" w:tentative="1">
      <w:start w:val="1"/>
      <w:numFmt w:val="lowerRoman"/>
      <w:lvlText w:val="%6."/>
      <w:lvlJc w:val="right"/>
      <w:pPr>
        <w:ind w:left="4320" w:hanging="180"/>
      </w:pPr>
    </w:lvl>
    <w:lvl w:ilvl="6" w:tplc="75A46E80" w:tentative="1">
      <w:start w:val="1"/>
      <w:numFmt w:val="decimal"/>
      <w:lvlText w:val="%7."/>
      <w:lvlJc w:val="left"/>
      <w:pPr>
        <w:ind w:left="5040" w:hanging="360"/>
      </w:pPr>
    </w:lvl>
    <w:lvl w:ilvl="7" w:tplc="84088C5C" w:tentative="1">
      <w:start w:val="1"/>
      <w:numFmt w:val="lowerLetter"/>
      <w:lvlText w:val="%8."/>
      <w:lvlJc w:val="left"/>
      <w:pPr>
        <w:ind w:left="5760" w:hanging="360"/>
      </w:pPr>
    </w:lvl>
    <w:lvl w:ilvl="8" w:tplc="42AAC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0068B1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BC09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44D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C1F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9054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58EC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B22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FA8B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A8E9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3F83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18CE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70E8"/>
    <w:rsid w:val="002207C0"/>
    <w:rsid w:val="00222785"/>
    <w:rsid w:val="0022380D"/>
    <w:rsid w:val="00224B93"/>
    <w:rsid w:val="00226630"/>
    <w:rsid w:val="0023676E"/>
    <w:rsid w:val="002414B6"/>
    <w:rsid w:val="002422EB"/>
    <w:rsid w:val="00242397"/>
    <w:rsid w:val="0024255B"/>
    <w:rsid w:val="002446DC"/>
    <w:rsid w:val="00247A48"/>
    <w:rsid w:val="00250DD1"/>
    <w:rsid w:val="00251183"/>
    <w:rsid w:val="00251689"/>
    <w:rsid w:val="0025267C"/>
    <w:rsid w:val="00252DA3"/>
    <w:rsid w:val="00253B6B"/>
    <w:rsid w:val="00256A03"/>
    <w:rsid w:val="0025748D"/>
    <w:rsid w:val="00265656"/>
    <w:rsid w:val="00265E77"/>
    <w:rsid w:val="00266155"/>
    <w:rsid w:val="002673C0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1474"/>
    <w:rsid w:val="00412BBE"/>
    <w:rsid w:val="00414B20"/>
    <w:rsid w:val="0041628A"/>
    <w:rsid w:val="00417DE3"/>
    <w:rsid w:val="00420850"/>
    <w:rsid w:val="00423968"/>
    <w:rsid w:val="00424199"/>
    <w:rsid w:val="00427054"/>
    <w:rsid w:val="00427D04"/>
    <w:rsid w:val="004304B1"/>
    <w:rsid w:val="00432DA8"/>
    <w:rsid w:val="0043320A"/>
    <w:rsid w:val="004332E3"/>
    <w:rsid w:val="0043586F"/>
    <w:rsid w:val="004371A3"/>
    <w:rsid w:val="00446960"/>
    <w:rsid w:val="00446F37"/>
    <w:rsid w:val="00451433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48C1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1282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66E6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7695A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34EFE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5838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07919"/>
    <w:rsid w:val="007101CC"/>
    <w:rsid w:val="00715C55"/>
    <w:rsid w:val="00724E3B"/>
    <w:rsid w:val="00725EEA"/>
    <w:rsid w:val="007276B6"/>
    <w:rsid w:val="00730908"/>
    <w:rsid w:val="00730CE9"/>
    <w:rsid w:val="00732156"/>
    <w:rsid w:val="0073373D"/>
    <w:rsid w:val="00736B1E"/>
    <w:rsid w:val="007439DB"/>
    <w:rsid w:val="007462DA"/>
    <w:rsid w:val="007464DA"/>
    <w:rsid w:val="00747C1F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306F"/>
    <w:rsid w:val="007B5DD9"/>
    <w:rsid w:val="007B72E1"/>
    <w:rsid w:val="007B783A"/>
    <w:rsid w:val="007C1B95"/>
    <w:rsid w:val="007C3DF3"/>
    <w:rsid w:val="007C796D"/>
    <w:rsid w:val="007D032A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436F"/>
    <w:rsid w:val="008255AA"/>
    <w:rsid w:val="00830FF3"/>
    <w:rsid w:val="008334BF"/>
    <w:rsid w:val="00836B8C"/>
    <w:rsid w:val="00840062"/>
    <w:rsid w:val="008410C5"/>
    <w:rsid w:val="008466C6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1ED9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07C8"/>
    <w:rsid w:val="009C108A"/>
    <w:rsid w:val="009C2E47"/>
    <w:rsid w:val="009C6BFB"/>
    <w:rsid w:val="009D0C05"/>
    <w:rsid w:val="009D2089"/>
    <w:rsid w:val="009E24B7"/>
    <w:rsid w:val="009E2C00"/>
    <w:rsid w:val="009E49AD"/>
    <w:rsid w:val="009E4CC5"/>
    <w:rsid w:val="009E54EA"/>
    <w:rsid w:val="009E66FE"/>
    <w:rsid w:val="009E70F4"/>
    <w:rsid w:val="009E72A3"/>
    <w:rsid w:val="009F1AD2"/>
    <w:rsid w:val="00A00C78"/>
    <w:rsid w:val="00A03F12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0790"/>
    <w:rsid w:val="00AD4DB9"/>
    <w:rsid w:val="00AD63C0"/>
    <w:rsid w:val="00AE35B2"/>
    <w:rsid w:val="00AE6AA0"/>
    <w:rsid w:val="00AF3BB8"/>
    <w:rsid w:val="00AF406C"/>
    <w:rsid w:val="00AF45ED"/>
    <w:rsid w:val="00AF53C7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276F7"/>
    <w:rsid w:val="00B304E7"/>
    <w:rsid w:val="00B318B6"/>
    <w:rsid w:val="00B3499B"/>
    <w:rsid w:val="00B36E65"/>
    <w:rsid w:val="00B41D57"/>
    <w:rsid w:val="00B41F47"/>
    <w:rsid w:val="00B44468"/>
    <w:rsid w:val="00B60471"/>
    <w:rsid w:val="00B60AC9"/>
    <w:rsid w:val="00B660D6"/>
    <w:rsid w:val="00B67323"/>
    <w:rsid w:val="00B715F2"/>
    <w:rsid w:val="00B74071"/>
    <w:rsid w:val="00B7428E"/>
    <w:rsid w:val="00B74B67"/>
    <w:rsid w:val="00B75580"/>
    <w:rsid w:val="00B76D6D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45F5"/>
    <w:rsid w:val="00C171A1"/>
    <w:rsid w:val="00C171A4"/>
    <w:rsid w:val="00C17F12"/>
    <w:rsid w:val="00C20734"/>
    <w:rsid w:val="00C21C1A"/>
    <w:rsid w:val="00C21EAE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67C77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74BA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4E75"/>
    <w:rsid w:val="00D3691A"/>
    <w:rsid w:val="00D36ACD"/>
    <w:rsid w:val="00D377C1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6D30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5CEE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55E0"/>
    <w:rsid w:val="00E46B12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157D"/>
    <w:rsid w:val="00E71C22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0BF3"/>
    <w:rsid w:val="00F343C8"/>
    <w:rsid w:val="00F345A8"/>
    <w:rsid w:val="00F354C5"/>
    <w:rsid w:val="00F37108"/>
    <w:rsid w:val="00F40449"/>
    <w:rsid w:val="00F43996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CA2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2CF2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F019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B276F7"/>
    <w:rPr>
      <w:color w:val="605E5C"/>
      <w:shd w:val="clear" w:color="auto" w:fill="E1DFDD"/>
    </w:rPr>
  </w:style>
  <w:style w:type="character" w:customStyle="1" w:styleId="ZhlavChar">
    <w:name w:val="Záhlaví Char"/>
    <w:link w:val="Zhlav"/>
    <w:rsid w:val="00DE5CEE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tpharmacoviggroup@chanellegroup.i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8733B-DD74-452E-878B-1D6B803F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2154</Words>
  <Characters>12710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23</cp:revision>
  <cp:lastPrinted>2025-11-20T11:18:00Z</cp:lastPrinted>
  <dcterms:created xsi:type="dcterms:W3CDTF">2022-10-26T09:20:00Z</dcterms:created>
  <dcterms:modified xsi:type="dcterms:W3CDTF">2025-11-20T11:18:00Z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