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35921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3326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A46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90FA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EF5D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D95C7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BDBAA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AEFF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9902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48C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7E68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04C2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B058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525A1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581C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62155CF2" w:rsidR="00C114FF" w:rsidRPr="00B41D57" w:rsidRDefault="00616A2D" w:rsidP="00616A2D">
      <w:pPr>
        <w:pStyle w:val="Style3"/>
        <w:numPr>
          <w:ilvl w:val="0"/>
          <w:numId w:val="45"/>
        </w:numPr>
      </w:pPr>
      <w:r w:rsidRPr="00B41D57">
        <w:t>PŘÍBALOVÁ INFORMACE</w:t>
      </w:r>
    </w:p>
    <w:p w14:paraId="43EC8B49" w14:textId="77777777" w:rsidR="00C114FF" w:rsidRPr="00B41D57" w:rsidRDefault="00616A2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9C5231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proofErr w:type="spellStart"/>
      <w:r w:rsidRPr="003B5554">
        <w:t>Dalmazin</w:t>
      </w:r>
      <w:proofErr w:type="spellEnd"/>
      <w:r w:rsidRPr="003B5554">
        <w:t xml:space="preserve"> SYNCH 0,075 mg/ml injekční roztok pro skot, prasata a koně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A30A54A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Každý ml obsahuje:</w:t>
      </w:r>
    </w:p>
    <w:p w14:paraId="1741F7C1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</w:p>
    <w:p w14:paraId="58CA61DB" w14:textId="707BF00F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3B5554">
        <w:rPr>
          <w:b/>
        </w:rPr>
        <w:t>Léčiv</w:t>
      </w:r>
      <w:r w:rsidR="002644D3">
        <w:rPr>
          <w:b/>
        </w:rPr>
        <w:t>é</w:t>
      </w:r>
      <w:r w:rsidRPr="003B5554">
        <w:rPr>
          <w:b/>
        </w:rPr>
        <w:t xml:space="preserve"> látk</w:t>
      </w:r>
      <w:r w:rsidR="002644D3">
        <w:rPr>
          <w:b/>
        </w:rPr>
        <w:t>y</w:t>
      </w:r>
      <w:r w:rsidRPr="003B5554">
        <w:rPr>
          <w:b/>
        </w:rPr>
        <w:t>:</w:t>
      </w:r>
    </w:p>
    <w:p w14:paraId="6718F7FB" w14:textId="436FA3BD" w:rsidR="003B5554" w:rsidRPr="003B5554" w:rsidRDefault="002644D3" w:rsidP="003B5554">
      <w:pPr>
        <w:tabs>
          <w:tab w:val="clear" w:pos="567"/>
          <w:tab w:val="left" w:leader="dot" w:pos="4253"/>
        </w:tabs>
        <w:spacing w:line="240" w:lineRule="auto"/>
        <w:ind w:left="567" w:hanging="567"/>
      </w:pPr>
      <w:proofErr w:type="spellStart"/>
      <w:r>
        <w:t>D</w:t>
      </w:r>
      <w:r w:rsidR="003B5554" w:rsidRPr="003B5554">
        <w:t>excloprostenolum</w:t>
      </w:r>
      <w:proofErr w:type="spellEnd"/>
      <w:r w:rsidR="003B5554" w:rsidRPr="003B5554">
        <w:tab/>
        <w:t>0,075 mg</w:t>
      </w:r>
    </w:p>
    <w:p w14:paraId="43EE47D4" w14:textId="5DB564B6" w:rsidR="003B5554" w:rsidRPr="003B5554" w:rsidRDefault="003B5554" w:rsidP="003B5554">
      <w:pPr>
        <w:tabs>
          <w:tab w:val="clear" w:pos="567"/>
          <w:tab w:val="left" w:leader="dot" w:pos="4253"/>
        </w:tabs>
        <w:spacing w:line="240" w:lineRule="auto"/>
        <w:ind w:left="567" w:hanging="567"/>
      </w:pPr>
      <w:r w:rsidRPr="003B5554">
        <w:t xml:space="preserve">(odpovídá </w:t>
      </w:r>
      <w:r w:rsidR="00616A2D" w:rsidRPr="003B5554">
        <w:t xml:space="preserve">0,079 mg </w:t>
      </w:r>
      <w:proofErr w:type="spellStart"/>
      <w:r w:rsidRPr="003B5554">
        <w:t>dexcloprostenolum</w:t>
      </w:r>
      <w:proofErr w:type="spellEnd"/>
      <w:r w:rsidRPr="003B5554">
        <w:t xml:space="preserve"> </w:t>
      </w:r>
      <w:proofErr w:type="spellStart"/>
      <w:r w:rsidRPr="003B5554">
        <w:t>natricum</w:t>
      </w:r>
      <w:proofErr w:type="spellEnd"/>
      <w:r w:rsidRPr="003B5554">
        <w:t>)</w:t>
      </w:r>
    </w:p>
    <w:p w14:paraId="27465C38" w14:textId="77777777" w:rsidR="003B5554" w:rsidRPr="003B5554" w:rsidRDefault="003B5554" w:rsidP="003B5554">
      <w:pPr>
        <w:tabs>
          <w:tab w:val="clear" w:pos="567"/>
          <w:tab w:val="left" w:leader="dot" w:pos="4253"/>
        </w:tabs>
        <w:spacing w:line="240" w:lineRule="auto"/>
        <w:ind w:left="567" w:hanging="567"/>
      </w:pPr>
    </w:p>
    <w:p w14:paraId="514C9FC4" w14:textId="77777777" w:rsidR="003B5554" w:rsidRPr="003B5554" w:rsidRDefault="003B5554" w:rsidP="003B5554">
      <w:pPr>
        <w:tabs>
          <w:tab w:val="clear" w:pos="567"/>
          <w:tab w:val="left" w:leader="dot" w:pos="4253"/>
        </w:tabs>
        <w:spacing w:line="240" w:lineRule="auto"/>
        <w:ind w:left="567" w:hanging="567"/>
        <w:rPr>
          <w:b/>
        </w:rPr>
      </w:pPr>
      <w:r w:rsidRPr="003B5554">
        <w:rPr>
          <w:b/>
        </w:rPr>
        <w:t>Pomocné látky:</w:t>
      </w:r>
    </w:p>
    <w:p w14:paraId="039A10BA" w14:textId="77777777" w:rsidR="003B5554" w:rsidRPr="003B5554" w:rsidRDefault="003B5554" w:rsidP="003B5554">
      <w:pPr>
        <w:tabs>
          <w:tab w:val="clear" w:pos="567"/>
          <w:tab w:val="left" w:leader="dot" w:pos="4253"/>
        </w:tabs>
        <w:spacing w:line="240" w:lineRule="auto"/>
        <w:ind w:left="567" w:hanging="567"/>
      </w:pPr>
      <w:proofErr w:type="spellStart"/>
      <w:r w:rsidRPr="003B5554">
        <w:t>Chlorkresol</w:t>
      </w:r>
      <w:proofErr w:type="spellEnd"/>
      <w:r w:rsidRPr="003B5554">
        <w:tab/>
        <w:t>1 mg</w:t>
      </w:r>
    </w:p>
    <w:p w14:paraId="48805FF9" w14:textId="77777777" w:rsidR="003B5554" w:rsidRPr="003B5554" w:rsidRDefault="003B5554" w:rsidP="003B5554">
      <w:pPr>
        <w:tabs>
          <w:tab w:val="clear" w:pos="567"/>
          <w:tab w:val="left" w:leader="dot" w:pos="4253"/>
        </w:tabs>
        <w:spacing w:line="240" w:lineRule="auto"/>
        <w:ind w:left="567" w:hanging="567"/>
      </w:pPr>
    </w:p>
    <w:p w14:paraId="7FEEBA54" w14:textId="12E57E4D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Čirý, bezbarvý roztok bez viditelných částic.</w:t>
      </w:r>
    </w:p>
    <w:p w14:paraId="04A8183B" w14:textId="77777777" w:rsidR="003B5554" w:rsidRPr="00B41D57" w:rsidRDefault="003B5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33411C" w14:textId="59E1C4AC" w:rsid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Skot (krávy), prasata (prasnice) a koně (klisny).</w:t>
      </w:r>
    </w:p>
    <w:p w14:paraId="4542DE70" w14:textId="5E6243A0" w:rsidR="00616A2D" w:rsidRDefault="00616A2D" w:rsidP="003B5554">
      <w:pPr>
        <w:tabs>
          <w:tab w:val="clear" w:pos="567"/>
        </w:tabs>
        <w:spacing w:line="240" w:lineRule="auto"/>
        <w:ind w:left="567" w:hanging="567"/>
      </w:pPr>
    </w:p>
    <w:p w14:paraId="7AC92E7B" w14:textId="52F2798C" w:rsidR="00616A2D" w:rsidRDefault="00616A2D" w:rsidP="003B5554">
      <w:pPr>
        <w:tabs>
          <w:tab w:val="clear" w:pos="567"/>
        </w:tabs>
        <w:spacing w:line="240" w:lineRule="auto"/>
        <w:ind w:left="567" w:hanging="567"/>
      </w:pPr>
      <w:r w:rsidRPr="000A5D10">
        <w:rPr>
          <w:noProof/>
          <w:szCs w:val="22"/>
          <w:lang w:val="it-IT" w:eastAsia="it-IT"/>
        </w:rPr>
        <w:drawing>
          <wp:inline distT="0" distB="0" distL="0" distR="0" wp14:anchorId="07B091E2" wp14:editId="1BD94DA4">
            <wp:extent cx="962025" cy="638175"/>
            <wp:effectExtent l="0" t="0" r="9525" b="9525"/>
            <wp:docPr id="10" name="Immagine 10" descr="C:\Users\grossi\AppData\Local\Microsoft\Windows\INetCache\Content.MSO\CFC9789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ossi\AppData\Local\Microsoft\Windows\INetCache\Content.MSO\CFC9789E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105">
        <w:rPr>
          <w:noProof/>
          <w:szCs w:val="22"/>
          <w:lang w:val="it-IT" w:eastAsia="it-IT"/>
        </w:rPr>
        <w:drawing>
          <wp:inline distT="0" distB="0" distL="0" distR="0" wp14:anchorId="06DB7AD7" wp14:editId="2D043318">
            <wp:extent cx="962025" cy="504825"/>
            <wp:effectExtent l="0" t="0" r="9525" b="9525"/>
            <wp:docPr id="11" name="Immagine 11" descr="C:\Users\grossi\AppData\Local\Microsoft\Windows\INetCache\Content.MSO\2802CE5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ossi\AppData\Local\Microsoft\Windows\INetCache\Content.MSO\2802CE5C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D10">
        <w:rPr>
          <w:noProof/>
          <w:szCs w:val="22"/>
          <w:lang w:val="it-IT" w:eastAsia="it-IT"/>
        </w:rPr>
        <w:drawing>
          <wp:inline distT="0" distB="0" distL="0" distR="0" wp14:anchorId="3B2DC31B" wp14:editId="65A2B514">
            <wp:extent cx="942975" cy="733425"/>
            <wp:effectExtent l="0" t="0" r="9525" b="9525"/>
            <wp:docPr id="12" name="Immagine 12" descr="C:\Users\grossi\AppData\Local\Microsoft\Windows\INetCache\Content.MSO\D43CB0C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rossi\AppData\Local\Microsoft\Windows\INetCache\Content.MSO\D43CB0CA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0CB60" w14:textId="62E16462" w:rsidR="00616A2D" w:rsidRDefault="00616A2D" w:rsidP="003B5554">
      <w:pPr>
        <w:tabs>
          <w:tab w:val="clear" w:pos="567"/>
        </w:tabs>
        <w:spacing w:line="240" w:lineRule="auto"/>
        <w:ind w:left="567" w:hanging="567"/>
      </w:pPr>
    </w:p>
    <w:p w14:paraId="7BD4F650" w14:textId="77777777" w:rsidR="00616A2D" w:rsidRPr="003B5554" w:rsidRDefault="00616A2D" w:rsidP="003B5554">
      <w:pPr>
        <w:tabs>
          <w:tab w:val="clear" w:pos="567"/>
        </w:tabs>
        <w:spacing w:line="240" w:lineRule="auto"/>
        <w:ind w:left="567" w:hanging="567"/>
      </w:pPr>
    </w:p>
    <w:p w14:paraId="22B0C5EC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5B9C47" w14:textId="6A1E1F8B" w:rsidR="003B5554" w:rsidRPr="003B5554" w:rsidRDefault="002644D3" w:rsidP="003B5554">
      <w:pPr>
        <w:tabs>
          <w:tab w:val="clear" w:pos="567"/>
        </w:tabs>
        <w:spacing w:line="240" w:lineRule="auto"/>
        <w:ind w:left="567" w:hanging="567"/>
      </w:pPr>
      <w:r>
        <w:t>Veterinární léčivý p</w:t>
      </w:r>
      <w:r w:rsidR="003B5554" w:rsidRPr="003B5554">
        <w:t>řípravek je určený</w:t>
      </w:r>
      <w:r w:rsidR="00595566">
        <w:t xml:space="preserve"> pro</w:t>
      </w:r>
      <w:r w:rsidR="003B5554" w:rsidRPr="003B5554">
        <w:t>:</w:t>
      </w:r>
    </w:p>
    <w:p w14:paraId="2E871CBF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</w:p>
    <w:p w14:paraId="106693C5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3B5554">
        <w:rPr>
          <w:b/>
        </w:rPr>
        <w:t>Krávy:</w:t>
      </w:r>
    </w:p>
    <w:p w14:paraId="4A3FB1E0" w14:textId="73F69F3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rPr>
          <w:b/>
        </w:rPr>
        <w:t>•</w:t>
      </w:r>
      <w:r w:rsidRPr="003B5554">
        <w:rPr>
          <w:b/>
        </w:rPr>
        <w:tab/>
      </w:r>
      <w:r w:rsidRPr="003B5554">
        <w:t xml:space="preserve">Synchronizace nebo vyvolání říje; </w:t>
      </w:r>
    </w:p>
    <w:p w14:paraId="0897B8E4" w14:textId="20ACFDB3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•</w:t>
      </w:r>
      <w:r w:rsidRPr="003B5554">
        <w:tab/>
        <w:t>Indukce porodu po 270. dn</w:t>
      </w:r>
      <w:r w:rsidR="006562AC">
        <w:t>i</w:t>
      </w:r>
      <w:r w:rsidRPr="003B5554">
        <w:t xml:space="preserve"> březosti;</w:t>
      </w:r>
    </w:p>
    <w:p w14:paraId="3F9CC67D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•</w:t>
      </w:r>
      <w:r w:rsidRPr="003B5554">
        <w:tab/>
        <w:t xml:space="preserve">Léčba ovariální dysfunkce (perzistující </w:t>
      </w:r>
      <w:r w:rsidRPr="003B5554">
        <w:rPr>
          <w:i/>
        </w:rPr>
        <w:t>corpus luteum</w:t>
      </w:r>
      <w:r w:rsidRPr="003B5554">
        <w:t>, luteální cysta);</w:t>
      </w:r>
    </w:p>
    <w:p w14:paraId="7C778412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•</w:t>
      </w:r>
      <w:r w:rsidRPr="003B5554">
        <w:tab/>
        <w:t xml:space="preserve">Léčba klinické endometritidy s přítomností funkčního </w:t>
      </w:r>
      <w:r w:rsidRPr="003B5554">
        <w:rPr>
          <w:i/>
        </w:rPr>
        <w:t xml:space="preserve">corpus luteum </w:t>
      </w:r>
      <w:r w:rsidRPr="003B5554">
        <w:t>a</w:t>
      </w:r>
      <w:r w:rsidRPr="003B5554">
        <w:rPr>
          <w:i/>
        </w:rPr>
        <w:t xml:space="preserve"> </w:t>
      </w:r>
      <w:r w:rsidRPr="003B5554">
        <w:t>pyometry;</w:t>
      </w:r>
    </w:p>
    <w:p w14:paraId="10129E81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•</w:t>
      </w:r>
      <w:r w:rsidRPr="003B5554">
        <w:tab/>
        <w:t>Léčba zpoždění involuce dělohy;</w:t>
      </w:r>
    </w:p>
    <w:p w14:paraId="355766FF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•</w:t>
      </w:r>
      <w:r w:rsidRPr="003B5554">
        <w:tab/>
        <w:t xml:space="preserve">Indukce potratu až do 150. dne březosti; </w:t>
      </w:r>
    </w:p>
    <w:p w14:paraId="75171DF3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•</w:t>
      </w:r>
      <w:r w:rsidRPr="003B5554">
        <w:tab/>
        <w:t>Vypuzení mumifikovaných plodů.</w:t>
      </w:r>
    </w:p>
    <w:p w14:paraId="12E4E0E7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</w:p>
    <w:p w14:paraId="7194A780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3B5554">
        <w:rPr>
          <w:b/>
        </w:rPr>
        <w:t>Prasnice:</w:t>
      </w:r>
    </w:p>
    <w:p w14:paraId="6EEAD26F" w14:textId="278D8C94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•</w:t>
      </w:r>
      <w:r w:rsidRPr="003B5554">
        <w:tab/>
        <w:t>Indukce porodu po 114. dn</w:t>
      </w:r>
      <w:r w:rsidR="006562AC">
        <w:t>i</w:t>
      </w:r>
      <w:r w:rsidRPr="003B5554">
        <w:t xml:space="preserve"> březosti.</w:t>
      </w:r>
    </w:p>
    <w:p w14:paraId="4197CCC2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</w:p>
    <w:p w14:paraId="7796FF9F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rPr>
          <w:b/>
        </w:rPr>
      </w:pPr>
      <w:r w:rsidRPr="003B5554">
        <w:rPr>
          <w:b/>
        </w:rPr>
        <w:t>Klisny:</w:t>
      </w:r>
    </w:p>
    <w:p w14:paraId="76D96C19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•</w:t>
      </w:r>
      <w:r w:rsidRPr="003B5554">
        <w:tab/>
        <w:t xml:space="preserve">Indukce luteolýzy s funkčním </w:t>
      </w:r>
      <w:r w:rsidRPr="003B5554">
        <w:rPr>
          <w:i/>
        </w:rPr>
        <w:t>corpus luteum</w:t>
      </w:r>
      <w:r w:rsidRPr="003B5554">
        <w:t>.</w:t>
      </w: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F05A31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Nepoužívat u březích samic, pokud není žádoucí vyvolat porod nebo potrat.</w:t>
      </w:r>
    </w:p>
    <w:p w14:paraId="78C0DE04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jc w:val="both"/>
      </w:pPr>
      <w:r w:rsidRPr="003B5554">
        <w:t>Nepoužívat v případech přecitlivělosti na léčivou látku nebo na některou z pomocných látek.</w:t>
      </w:r>
    </w:p>
    <w:p w14:paraId="1A1245F4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Nepodávat zvířatům s projevy kardiovaskulárního, respiračního nebo gastrointestinálního onemocnění.</w:t>
      </w:r>
    </w:p>
    <w:p w14:paraId="4A1256EA" w14:textId="77777777" w:rsidR="003B5554" w:rsidRPr="003B5554" w:rsidRDefault="003B5554" w:rsidP="003B5554">
      <w:pPr>
        <w:tabs>
          <w:tab w:val="clear" w:pos="567"/>
        </w:tabs>
        <w:spacing w:line="240" w:lineRule="auto"/>
        <w:jc w:val="both"/>
      </w:pPr>
      <w:r w:rsidRPr="003B5554">
        <w:t>Nepodávat k indukci porodu u prasnic a krav s podezřením na těžký porod v důsledku mechanické obstrukce, nebo pokud můžeme očekávat komplikace z důvodu abnormální polohy plodu.</w:t>
      </w:r>
    </w:p>
    <w:p w14:paraId="1612FDCC" w14:textId="77777777" w:rsidR="003B5554" w:rsidRPr="00B41D57" w:rsidRDefault="003B5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8A1624" w14:textId="24C476BA" w:rsidR="003B5554" w:rsidRPr="00B41D57" w:rsidRDefault="003B5554" w:rsidP="003B5554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78CA659C" w14:textId="77777777" w:rsidR="003B5554" w:rsidRPr="003B5554" w:rsidRDefault="003B5554" w:rsidP="003B5554">
      <w:pPr>
        <w:tabs>
          <w:tab w:val="clear" w:pos="567"/>
        </w:tabs>
        <w:spacing w:line="240" w:lineRule="auto"/>
        <w:jc w:val="both"/>
      </w:pPr>
      <w:r w:rsidRPr="003B5554">
        <w:t xml:space="preserve">Odezva krav na synchronizační protokoly není homogenní ani mezi stády, ani v rámci stejného stáda a může se lišit v závislosti na fyziologickém stavu zvířete v době léčby (citlivost a funkční stav </w:t>
      </w:r>
      <w:r w:rsidRPr="003B5554">
        <w:rPr>
          <w:i/>
        </w:rPr>
        <w:t>corpus luteum</w:t>
      </w:r>
      <w:r w:rsidRPr="003B5554">
        <w:t>, věk, fyzická kondice, interval od otelení atd.).</w:t>
      </w:r>
    </w:p>
    <w:p w14:paraId="1347EBC7" w14:textId="77777777" w:rsidR="003B5554" w:rsidRPr="00B41D57" w:rsidRDefault="003B5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721969BC" w:rsidR="00F354C5" w:rsidRDefault="00616A2D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540492C" w14:textId="77777777" w:rsidR="003B5554" w:rsidRPr="003B5554" w:rsidRDefault="003B5554" w:rsidP="003B5554">
      <w:pPr>
        <w:tabs>
          <w:tab w:val="clear" w:pos="567"/>
        </w:tabs>
        <w:spacing w:line="240" w:lineRule="auto"/>
        <w:jc w:val="both"/>
      </w:pPr>
      <w:r w:rsidRPr="003B5554">
        <w:t xml:space="preserve">Vyvolání porodu nebo potratu může zvýšit riziko komplikací, zadržení placenty, úmrtí plodu a metritis. Ke snížení rizika anaerobních infekcí, které mohou souviset s farmakologickými vlastnostmi prostaglandinů, je třeba dbát na to, aby nedošlo k injekčnímu podání do kontaminovaných oblastí kůže. Před podáním důkladně očistit a dezinfikovat místa injekčního podání. </w:t>
      </w:r>
    </w:p>
    <w:p w14:paraId="5E43C991" w14:textId="77777777" w:rsidR="003B5554" w:rsidRPr="003B5554" w:rsidRDefault="003B5554" w:rsidP="003B5554">
      <w:pPr>
        <w:tabs>
          <w:tab w:val="clear" w:pos="567"/>
        </w:tabs>
        <w:spacing w:line="240" w:lineRule="auto"/>
        <w:jc w:val="both"/>
      </w:pPr>
      <w:r w:rsidRPr="003B5554">
        <w:t>V případě vyvolání říje u krav je nutná od 2. dne po injekčním podání odpovídající detekce říje.</w:t>
      </w:r>
    </w:p>
    <w:p w14:paraId="69989C6F" w14:textId="0E09BFDF" w:rsidR="003B5554" w:rsidRPr="003B5554" w:rsidRDefault="003B5554" w:rsidP="003B5554">
      <w:pPr>
        <w:tabs>
          <w:tab w:val="clear" w:pos="567"/>
        </w:tabs>
        <w:spacing w:line="240" w:lineRule="auto"/>
        <w:jc w:val="both"/>
      </w:pPr>
      <w:r w:rsidRPr="003B5554">
        <w:t>Vyvolání porodu u prasnic před 114. dnem březosti může zvýšit riziko narození mrtv</w:t>
      </w:r>
      <w:r w:rsidR="006562AC">
        <w:t>ýc</w:t>
      </w:r>
      <w:r w:rsidRPr="003B5554">
        <w:t>h plod</w:t>
      </w:r>
      <w:r w:rsidR="006562AC">
        <w:t>ů</w:t>
      </w:r>
      <w:r w:rsidRPr="003B5554">
        <w:t xml:space="preserve"> a zvýšit počet prasnic, u nichž bude při porodu nutná manuální asistence.</w:t>
      </w:r>
    </w:p>
    <w:p w14:paraId="5B3195DD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84F1A40" w14:textId="05DEAF88" w:rsidR="00F354C5" w:rsidRDefault="00616A2D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2115B0CE" w14:textId="77777777" w:rsidR="003B5554" w:rsidRPr="003B5554" w:rsidRDefault="003B5554" w:rsidP="003B555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3B5554">
        <w:t>Prostaglandiny typu F2α mohou být absorbovány kůží a mohou způsobit bronchospasmus nebo potrat.</w:t>
      </w:r>
    </w:p>
    <w:p w14:paraId="27F5114D" w14:textId="0D20BD06" w:rsidR="002644D3" w:rsidRDefault="002644D3" w:rsidP="003B555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3B5554">
        <w:t xml:space="preserve">Při </w:t>
      </w:r>
      <w:r w:rsidR="00492A1C">
        <w:t>nakládání</w:t>
      </w:r>
      <w:r w:rsidRPr="003B5554">
        <w:t xml:space="preserve"> s </w:t>
      </w:r>
      <w:r w:rsidR="00E95E5F">
        <w:t xml:space="preserve">veterinárním léčivým </w:t>
      </w:r>
      <w:r w:rsidRPr="003B5554">
        <w:t xml:space="preserve">přípravkem zabraňte náhodnému </w:t>
      </w:r>
      <w:proofErr w:type="spellStart"/>
      <w:r w:rsidRPr="003B5554">
        <w:t>samopodání</w:t>
      </w:r>
      <w:proofErr w:type="spellEnd"/>
      <w:r w:rsidRPr="003B5554">
        <w:t xml:space="preserve"> injekce nebo kontaktu s kůží.</w:t>
      </w:r>
      <w:r>
        <w:t xml:space="preserve"> </w:t>
      </w:r>
    </w:p>
    <w:p w14:paraId="582C8A54" w14:textId="41D8F112" w:rsidR="003B5554" w:rsidRPr="003B5554" w:rsidRDefault="003B5554" w:rsidP="003B555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3B5554">
        <w:t xml:space="preserve">Těhotné ženy, ženy v plodném věku, astmatici a lidé s bronchiálním nebo jiným respiračním onemocněním, by se měli při podávání </w:t>
      </w:r>
      <w:r w:rsidR="00E95E5F">
        <w:t xml:space="preserve">veterinárního léčivého </w:t>
      </w:r>
      <w:r w:rsidRPr="003B5554">
        <w:t xml:space="preserve">přípravku vyhnout kontaktu s ním nebo </w:t>
      </w:r>
      <w:r w:rsidR="00E95E5F">
        <w:t xml:space="preserve">používat osobní ochranné prostředky skládající se z </w:t>
      </w:r>
      <w:r w:rsidRPr="003B5554">
        <w:t>jednorázov</w:t>
      </w:r>
      <w:r w:rsidR="00E95E5F">
        <w:t>ých</w:t>
      </w:r>
      <w:r w:rsidRPr="003B5554">
        <w:t xml:space="preserve"> nepropustn</w:t>
      </w:r>
      <w:r w:rsidR="00E95E5F">
        <w:t>ých</w:t>
      </w:r>
      <w:r w:rsidRPr="003B5554">
        <w:t xml:space="preserve"> rukavic. </w:t>
      </w:r>
    </w:p>
    <w:p w14:paraId="3FC39AE6" w14:textId="177548E8" w:rsidR="003B5554" w:rsidRPr="003B5554" w:rsidRDefault="003B5554" w:rsidP="003B555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3B5554">
        <w:t xml:space="preserve">V případě náhodného potřísnění kůže </w:t>
      </w:r>
      <w:r w:rsidR="00E95E5F">
        <w:t xml:space="preserve">vyhledejte ihned lékařskou pomoc a ukažte příbalovou informaci nebo etiketu praktickému lékaři. </w:t>
      </w:r>
      <w:r w:rsidR="00E95E5F" w:rsidRPr="00E32CEC">
        <w:t xml:space="preserve"> </w:t>
      </w:r>
      <w:r w:rsidR="00E95E5F">
        <w:t xml:space="preserve">Při náhodném potřísnění kůže </w:t>
      </w:r>
      <w:r w:rsidRPr="003B5554">
        <w:t xml:space="preserve">je třeba zasažené místo ihned omýt mýdlem a vodou. </w:t>
      </w:r>
    </w:p>
    <w:p w14:paraId="4E1A2FFD" w14:textId="77777777" w:rsidR="003B5554" w:rsidRPr="003B5554" w:rsidRDefault="003B5554" w:rsidP="003B5554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</w:pPr>
      <w:r w:rsidRPr="003B5554">
        <w:t>Pokud by při náhodném vdechnutí nebo injekci došlo k dušnosti, vyhledejte lékařskou pomoc a ukažte příbalovou informaci nebo etiketu praktickému lékaři.</w:t>
      </w:r>
    </w:p>
    <w:p w14:paraId="74660D10" w14:textId="77777777" w:rsidR="003B5554" w:rsidRPr="00B41D57" w:rsidRDefault="003B5554" w:rsidP="00F354C5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0C462853" w:rsidR="005B1FD0" w:rsidRDefault="00616A2D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18F46B9B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Nepoužívat u březích samic, pokud není žádoucí vyvolat ukončení březosti.</w:t>
      </w:r>
    </w:p>
    <w:p w14:paraId="73D0D89F" w14:textId="678E5566" w:rsidR="003B5554" w:rsidRPr="003B5554" w:rsidRDefault="002644D3" w:rsidP="003B5554">
      <w:pPr>
        <w:tabs>
          <w:tab w:val="clear" w:pos="567"/>
        </w:tabs>
        <w:spacing w:line="240" w:lineRule="auto"/>
        <w:ind w:left="567" w:hanging="567"/>
      </w:pPr>
      <w:r>
        <w:t>L</w:t>
      </w:r>
      <w:r w:rsidR="003B5554" w:rsidRPr="003B5554">
        <w:t>ze použít během laktace.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B3D2D05" w:rsidR="005B1FD0" w:rsidRDefault="00616A2D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4B1EF22" w14:textId="6C7A32EE" w:rsidR="003B5554" w:rsidRPr="003B5554" w:rsidRDefault="003B5554" w:rsidP="003B5554">
      <w:pPr>
        <w:tabs>
          <w:tab w:val="clear" w:pos="567"/>
        </w:tabs>
        <w:spacing w:line="240" w:lineRule="auto"/>
        <w:jc w:val="both"/>
      </w:pPr>
      <w:r w:rsidRPr="003B5554">
        <w:t xml:space="preserve">Nepodávat </w:t>
      </w:r>
      <w:r w:rsidR="00BA0A39">
        <w:t xml:space="preserve">veterinární léčivý </w:t>
      </w:r>
      <w:r w:rsidRPr="003B5554">
        <w:t xml:space="preserve">přípravek současně s nesteroidními protizánětlivými léky, protože inhibují endogenní syntézu prostaglandinů. Po podání </w:t>
      </w:r>
      <w:r w:rsidR="00BA0A39">
        <w:t xml:space="preserve">veterinárního léčivého </w:t>
      </w:r>
      <w:r w:rsidRPr="003B5554">
        <w:t>přípravku může být zvýšena aktivita jiných oxytocinových přípravků.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52DF4FBB" w:rsidR="005B1FD0" w:rsidRDefault="00616A2D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EBFAF82" w14:textId="77777777" w:rsidR="003B5554" w:rsidRPr="003B5554" w:rsidRDefault="003B5554" w:rsidP="003B5554">
      <w:pPr>
        <w:tabs>
          <w:tab w:val="clear" w:pos="567"/>
        </w:tabs>
        <w:spacing w:line="240" w:lineRule="auto"/>
        <w:jc w:val="both"/>
      </w:pPr>
      <w:r w:rsidRPr="003B5554">
        <w:rPr>
          <w:color w:val="222222"/>
          <w:szCs w:val="22"/>
        </w:rPr>
        <w:t>Po podání desetinásobku terapeutické dávky nebyly pozorovány u krav a prasnic žádné nežádoucí reakce</w:t>
      </w:r>
      <w:r w:rsidRPr="003B5554">
        <w:t xml:space="preserve">. </w:t>
      </w:r>
    </w:p>
    <w:p w14:paraId="1ABD06CA" w14:textId="543FF261" w:rsidR="003B5554" w:rsidRPr="003B5554" w:rsidRDefault="003B5554" w:rsidP="003B5554">
      <w:pPr>
        <w:tabs>
          <w:tab w:val="clear" w:pos="567"/>
        </w:tabs>
        <w:spacing w:line="240" w:lineRule="auto"/>
        <w:jc w:val="both"/>
      </w:pPr>
      <w:r w:rsidRPr="003B5554">
        <w:t xml:space="preserve">Obecně </w:t>
      </w:r>
      <w:r w:rsidR="006562AC" w:rsidRPr="003B5554">
        <w:t xml:space="preserve">může </w:t>
      </w:r>
      <w:r w:rsidRPr="003B5554">
        <w:t>velké předávkování způsobit následující příznaky: zrychlený tep a dýchání, zúžení průdušek, zvýšení tělesné teploty, zvýšené množství vyloučené</w:t>
      </w:r>
      <w:r w:rsidR="006562AC">
        <w:t>ho</w:t>
      </w:r>
      <w:r w:rsidRPr="003B5554">
        <w:t xml:space="preserve"> řídké</w:t>
      </w:r>
      <w:r w:rsidR="006562AC">
        <w:t>ho</w:t>
      </w:r>
      <w:r w:rsidRPr="003B5554">
        <w:t xml:space="preserve"> </w:t>
      </w:r>
      <w:r w:rsidR="006562AC">
        <w:t>trusu</w:t>
      </w:r>
      <w:r w:rsidRPr="003B5554">
        <w:t xml:space="preserve"> a moči, slinění a zvracení. Vzhledem k tomu, že nebylo zjištěno žádné specifické antidotum, doporučuje se v případě předávkování symptomatická léčba. Předávkování nezrychlí regresi žlutého tělíska. </w:t>
      </w:r>
    </w:p>
    <w:p w14:paraId="6D0CE1D6" w14:textId="2FD5186E" w:rsidR="003B5554" w:rsidRDefault="003B5554" w:rsidP="005F79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3B5554">
        <w:rPr>
          <w:color w:val="222222"/>
          <w:szCs w:val="22"/>
        </w:rPr>
        <w:t xml:space="preserve">U klisen bylo zjištěno po podávání 3násobné terapeutické dávky </w:t>
      </w:r>
      <w:r w:rsidR="00BA0A39">
        <w:rPr>
          <w:color w:val="222222"/>
          <w:szCs w:val="22"/>
        </w:rPr>
        <w:t xml:space="preserve">veterinárního léčivého přípravku </w:t>
      </w:r>
      <w:r w:rsidRPr="003B5554">
        <w:rPr>
          <w:color w:val="222222"/>
          <w:szCs w:val="22"/>
        </w:rPr>
        <w:t>mírné pocení a řídk</w:t>
      </w:r>
      <w:r w:rsidR="006562AC">
        <w:rPr>
          <w:color w:val="222222"/>
          <w:szCs w:val="22"/>
        </w:rPr>
        <w:t>ý</w:t>
      </w:r>
      <w:r w:rsidRPr="003B5554">
        <w:rPr>
          <w:color w:val="222222"/>
          <w:szCs w:val="22"/>
        </w:rPr>
        <w:t xml:space="preserve"> </w:t>
      </w:r>
      <w:r w:rsidR="006562AC">
        <w:rPr>
          <w:color w:val="222222"/>
          <w:szCs w:val="22"/>
        </w:rPr>
        <w:t>trus</w:t>
      </w:r>
      <w:r w:rsidRPr="003B5554">
        <w:t>.</w:t>
      </w:r>
    </w:p>
    <w:p w14:paraId="4D6071D2" w14:textId="77777777" w:rsidR="00616A2D" w:rsidRPr="00B41D57" w:rsidRDefault="00616A2D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38ECFC9C" w:rsidR="005B1FD0" w:rsidRDefault="00616A2D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8DFAFB3" w14:textId="77777777" w:rsidR="003B5554" w:rsidRPr="003B5554" w:rsidRDefault="003B5554" w:rsidP="003B5554">
      <w:pPr>
        <w:tabs>
          <w:tab w:val="clear" w:pos="567"/>
        </w:tabs>
        <w:spacing w:line="240" w:lineRule="auto"/>
        <w:jc w:val="both"/>
      </w:pPr>
      <w:r w:rsidRPr="003B5554">
        <w:t>Studie kompatibility nejsou k dispozici, a proto tento veterinární léčivý přípravek nesmí být mísen s žádnými dalšími veterinárními léčivými přípravky.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7502E1" w14:textId="77777777" w:rsidR="003B5554" w:rsidRPr="003B5554" w:rsidRDefault="003B5554" w:rsidP="003B5554">
      <w:pPr>
        <w:tabs>
          <w:tab w:val="clear" w:pos="567"/>
        </w:tabs>
        <w:spacing w:line="240" w:lineRule="auto"/>
        <w:rPr>
          <w:szCs w:val="22"/>
        </w:rPr>
      </w:pPr>
    </w:p>
    <w:p w14:paraId="59A65A97" w14:textId="77777777" w:rsidR="003B5554" w:rsidRPr="00B41D57" w:rsidRDefault="003B555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E82EC96" w14:textId="77777777" w:rsidR="00BA0A39" w:rsidRPr="00E32CEC" w:rsidRDefault="00BA0A39" w:rsidP="00BA0A39">
      <w:r w:rsidRPr="00E32CEC">
        <w:lastRenderedPageBreak/>
        <w:t>Skot (krávy)</w:t>
      </w:r>
      <w:r>
        <w:t>:</w:t>
      </w:r>
      <w:r w:rsidRPr="00E32CEC">
        <w:t xml:space="preserve"> </w:t>
      </w:r>
    </w:p>
    <w:p w14:paraId="5FBB21F0" w14:textId="77777777" w:rsidR="00BA0A39" w:rsidRPr="00B41D57" w:rsidRDefault="00BA0A39" w:rsidP="00BA0A39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A0A39" w14:paraId="4E648ACE" w14:textId="77777777" w:rsidTr="001F0977">
        <w:tc>
          <w:tcPr>
            <w:tcW w:w="1957" w:type="pct"/>
          </w:tcPr>
          <w:p w14:paraId="2911E029" w14:textId="77777777" w:rsidR="00BA0A39" w:rsidRPr="00B41D57" w:rsidRDefault="00BA0A39" w:rsidP="001F0977">
            <w:pPr>
              <w:spacing w:before="60" w:after="60"/>
              <w:rPr>
                <w:szCs w:val="22"/>
              </w:rPr>
            </w:pPr>
            <w:bookmarkStart w:id="0" w:name="_Hlk205820156"/>
            <w:r w:rsidRPr="00B41D57">
              <w:t>Časté</w:t>
            </w:r>
          </w:p>
          <w:p w14:paraId="2DD154EB" w14:textId="77777777" w:rsidR="00BA0A39" w:rsidRPr="00B41D57" w:rsidRDefault="00BA0A39" w:rsidP="001F0977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52B394E9" w14:textId="3F60E7C0" w:rsidR="00BA0A39" w:rsidRPr="007E1B6E" w:rsidRDefault="00BA0A39" w:rsidP="001F097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Infekce v místě </w:t>
            </w:r>
            <w:r w:rsidR="007A2932">
              <w:rPr>
                <w:iCs/>
                <w:szCs w:val="22"/>
              </w:rPr>
              <w:t xml:space="preserve">injekčního </w:t>
            </w:r>
            <w:r>
              <w:rPr>
                <w:iCs/>
                <w:szCs w:val="22"/>
              </w:rPr>
              <w:t>podání</w:t>
            </w:r>
            <w:r w:rsidRPr="007E1B6E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</w:t>
            </w:r>
            <w:r w:rsidRPr="00E32CEC">
              <w:t xml:space="preserve">otok </w:t>
            </w:r>
            <w:r w:rsidR="00E95E5F">
              <w:t>v</w:t>
            </w:r>
            <w:r w:rsidR="007A2932">
              <w:t> </w:t>
            </w:r>
            <w:r w:rsidR="00E95E5F">
              <w:t>místě</w:t>
            </w:r>
            <w:r w:rsidR="007A2932">
              <w:t xml:space="preserve"> injekčního</w:t>
            </w:r>
            <w:r w:rsidR="00E95E5F">
              <w:t xml:space="preserve"> </w:t>
            </w:r>
            <w:proofErr w:type="spellStart"/>
            <w:proofErr w:type="gramStart"/>
            <w:r w:rsidR="00E95E5F">
              <w:t>podání,</w:t>
            </w:r>
            <w:r w:rsidRPr="00E32CEC">
              <w:t>krepitace</w:t>
            </w:r>
            <w:proofErr w:type="spellEnd"/>
            <w:proofErr w:type="gramEnd"/>
            <w:r w:rsidRPr="00E32CEC">
              <w:t xml:space="preserve"> </w:t>
            </w:r>
            <w:r w:rsidR="00E95E5F">
              <w:t>(</w:t>
            </w:r>
            <w:r w:rsidR="00705300">
              <w:t>praskoty</w:t>
            </w:r>
            <w:r>
              <w:t>)</w:t>
            </w:r>
            <w:r w:rsidR="002925BF">
              <w:t>)</w:t>
            </w:r>
          </w:p>
        </w:tc>
      </w:tr>
      <w:tr w:rsidR="00BA0A39" w14:paraId="4E4BCB60" w14:textId="77777777" w:rsidTr="001F0977">
        <w:tc>
          <w:tcPr>
            <w:tcW w:w="1957" w:type="pct"/>
          </w:tcPr>
          <w:p w14:paraId="022DEAB7" w14:textId="77777777" w:rsidR="00BA0A39" w:rsidRDefault="00BA0A39" w:rsidP="001F0977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Neznámá četnost</w:t>
            </w:r>
          </w:p>
          <w:p w14:paraId="369214D8" w14:textId="77777777" w:rsidR="00BA0A39" w:rsidRPr="00B41D57" w:rsidRDefault="00BA0A39" w:rsidP="001F0977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(z dostupných údajů nelze určit):  </w:t>
            </w:r>
          </w:p>
        </w:tc>
        <w:tc>
          <w:tcPr>
            <w:tcW w:w="3043" w:type="pct"/>
          </w:tcPr>
          <w:p w14:paraId="1D367C50" w14:textId="77777777" w:rsidR="00BA0A39" w:rsidRPr="00B41D57" w:rsidRDefault="00BA0A39" w:rsidP="001F0977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Z</w:t>
            </w:r>
            <w:r w:rsidRPr="00E32CEC">
              <w:rPr>
                <w:szCs w:val="22"/>
              </w:rPr>
              <w:t>adržen</w:t>
            </w:r>
            <w:r>
              <w:rPr>
                <w:szCs w:val="22"/>
              </w:rPr>
              <w:t>í</w:t>
            </w:r>
            <w:r w:rsidRPr="00E32CEC">
              <w:rPr>
                <w:szCs w:val="22"/>
              </w:rPr>
              <w:t xml:space="preserve"> placenty</w:t>
            </w:r>
            <w:r w:rsidRPr="007E1B6E">
              <w:rPr>
                <w:szCs w:val="22"/>
                <w:vertAlign w:val="superscript"/>
              </w:rPr>
              <w:t>2</w:t>
            </w:r>
          </w:p>
        </w:tc>
      </w:tr>
    </w:tbl>
    <w:bookmarkEnd w:id="0"/>
    <w:p w14:paraId="4CC5F233" w14:textId="77777777" w:rsidR="00BA0A39" w:rsidRDefault="00BA0A39" w:rsidP="00BA0A39">
      <w:pPr>
        <w:tabs>
          <w:tab w:val="clear" w:pos="567"/>
        </w:tabs>
        <w:spacing w:line="240" w:lineRule="auto"/>
        <w:rPr>
          <w:szCs w:val="22"/>
        </w:rPr>
      </w:pPr>
      <w:r w:rsidRPr="00616A2D">
        <w:rPr>
          <w:szCs w:val="22"/>
          <w:vertAlign w:val="superscript"/>
        </w:rPr>
        <w:t>1</w:t>
      </w:r>
      <w:r>
        <w:rPr>
          <w:szCs w:val="22"/>
        </w:rPr>
        <w:t xml:space="preserve"> R</w:t>
      </w:r>
      <w:r w:rsidRPr="00E32CEC">
        <w:t>eakce způsobené anaerobní infekcí</w:t>
      </w:r>
      <w:r>
        <w:t xml:space="preserve">, </w:t>
      </w:r>
      <w:r w:rsidRPr="00E32CEC">
        <w:t>zejména v případě intramuskulárního podání</w:t>
      </w:r>
    </w:p>
    <w:p w14:paraId="60E95D93" w14:textId="77777777" w:rsidR="00BA0A39" w:rsidRPr="00E32CEC" w:rsidRDefault="00BA0A39" w:rsidP="00BA0A39">
      <w:pPr>
        <w:tabs>
          <w:tab w:val="clear" w:pos="567"/>
        </w:tabs>
        <w:spacing w:line="240" w:lineRule="auto"/>
        <w:jc w:val="both"/>
      </w:pPr>
      <w:bookmarkStart w:id="1" w:name="_Hlk205820379"/>
      <w:r w:rsidRPr="00616A2D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E32CEC">
        <w:rPr>
          <w:szCs w:val="22"/>
        </w:rPr>
        <w:t>Při použití pro indukci porodu může dojít ke zvýšenému výskytu zadržené placenty v závislosti na době léčby vzhledem k datu zabřeznutí</w:t>
      </w:r>
      <w:r w:rsidRPr="00E32CEC">
        <w:t>.</w:t>
      </w:r>
    </w:p>
    <w:bookmarkEnd w:id="1"/>
    <w:p w14:paraId="73B7C271" w14:textId="77777777" w:rsidR="00BA0A39" w:rsidRDefault="00BA0A39" w:rsidP="00BA0A39">
      <w:pPr>
        <w:tabs>
          <w:tab w:val="clear" w:pos="567"/>
        </w:tabs>
        <w:spacing w:line="240" w:lineRule="auto"/>
        <w:rPr>
          <w:szCs w:val="22"/>
        </w:rPr>
      </w:pPr>
    </w:p>
    <w:p w14:paraId="6BAB546C" w14:textId="77777777" w:rsidR="00BA0A39" w:rsidRDefault="00BA0A39" w:rsidP="00BA0A39">
      <w:pPr>
        <w:tabs>
          <w:tab w:val="clear" w:pos="567"/>
        </w:tabs>
        <w:spacing w:line="240" w:lineRule="auto"/>
        <w:ind w:left="567" w:hanging="567"/>
      </w:pPr>
      <w:r>
        <w:t>P</w:t>
      </w:r>
      <w:r w:rsidRPr="00E32CEC">
        <w:t>rasata (prasnice)</w:t>
      </w:r>
      <w:r>
        <w:t xml:space="preserve">:             </w:t>
      </w:r>
    </w:p>
    <w:p w14:paraId="26D29851" w14:textId="77777777" w:rsidR="00BA0A39" w:rsidRDefault="00BA0A39" w:rsidP="00BA0A3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A0A39" w14:paraId="6266A1C3" w14:textId="77777777" w:rsidTr="001F0977">
        <w:tc>
          <w:tcPr>
            <w:tcW w:w="1957" w:type="pct"/>
          </w:tcPr>
          <w:p w14:paraId="782A103F" w14:textId="77777777" w:rsidR="00BA0A39" w:rsidRPr="00B41D57" w:rsidRDefault="00BA0A39" w:rsidP="001F0977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00BE4344" w14:textId="77777777" w:rsidR="00BA0A39" w:rsidRPr="00B41D57" w:rsidRDefault="00BA0A39" w:rsidP="001F0977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1E273D47" w14:textId="6A3316C3" w:rsidR="00BA0A39" w:rsidRPr="007E1B6E" w:rsidRDefault="00BA0A39" w:rsidP="001F097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Infekce v</w:t>
            </w:r>
            <w:r w:rsidR="007A2932">
              <w:rPr>
                <w:iCs/>
                <w:szCs w:val="22"/>
              </w:rPr>
              <w:t> </w:t>
            </w:r>
            <w:r>
              <w:rPr>
                <w:iCs/>
                <w:szCs w:val="22"/>
              </w:rPr>
              <w:t>místě</w:t>
            </w:r>
            <w:r w:rsidR="007A2932">
              <w:rPr>
                <w:iCs/>
                <w:szCs w:val="22"/>
              </w:rPr>
              <w:t xml:space="preserve"> injekčního </w:t>
            </w:r>
            <w:r>
              <w:rPr>
                <w:iCs/>
                <w:szCs w:val="22"/>
              </w:rPr>
              <w:t>podání</w:t>
            </w:r>
            <w:r w:rsidRPr="007E1B6E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</w:t>
            </w:r>
            <w:r w:rsidRPr="00E32CEC">
              <w:t xml:space="preserve">otok v místě </w:t>
            </w:r>
            <w:r w:rsidR="007A2932">
              <w:t xml:space="preserve">injekčního </w:t>
            </w:r>
            <w:r w:rsidRPr="00E32CEC">
              <w:t>podání</w:t>
            </w:r>
            <w:r w:rsidR="00705300">
              <w:t>, krepitace (praskoty</w:t>
            </w:r>
            <w:r>
              <w:t>)</w:t>
            </w:r>
          </w:p>
        </w:tc>
      </w:tr>
      <w:tr w:rsidR="00BA0A39" w14:paraId="15FF7F4F" w14:textId="77777777" w:rsidTr="001F0977">
        <w:tc>
          <w:tcPr>
            <w:tcW w:w="1957" w:type="pct"/>
          </w:tcPr>
          <w:p w14:paraId="16589A6F" w14:textId="77777777" w:rsidR="00BA0A39" w:rsidRDefault="00BA0A39" w:rsidP="001F0977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Neznámá četnost</w:t>
            </w:r>
          </w:p>
          <w:p w14:paraId="6029555C" w14:textId="77777777" w:rsidR="00BA0A39" w:rsidRPr="00B41D57" w:rsidRDefault="00BA0A39" w:rsidP="001F0977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(z dostupných údajů nelze určit):  </w:t>
            </w:r>
          </w:p>
        </w:tc>
        <w:tc>
          <w:tcPr>
            <w:tcW w:w="3043" w:type="pct"/>
          </w:tcPr>
          <w:p w14:paraId="2CBC9DBD" w14:textId="77777777" w:rsidR="00BA0A39" w:rsidRDefault="00BA0A39" w:rsidP="001F097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E32CEC">
              <w:rPr>
                <w:szCs w:val="22"/>
              </w:rPr>
              <w:t>adržen</w:t>
            </w:r>
            <w:r>
              <w:rPr>
                <w:szCs w:val="22"/>
              </w:rPr>
              <w:t>í</w:t>
            </w:r>
            <w:r w:rsidRPr="00E32CEC">
              <w:rPr>
                <w:szCs w:val="22"/>
              </w:rPr>
              <w:t xml:space="preserve"> placenty</w:t>
            </w:r>
            <w:r w:rsidRPr="007E1B6E">
              <w:rPr>
                <w:szCs w:val="22"/>
                <w:vertAlign w:val="superscript"/>
              </w:rPr>
              <w:t>2</w:t>
            </w:r>
          </w:p>
          <w:p w14:paraId="5AFC240A" w14:textId="5743996F" w:rsidR="00BA0A39" w:rsidRPr="00B41D57" w:rsidRDefault="00705300" w:rsidP="00595566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Poruch</w:t>
            </w:r>
            <w:r w:rsidR="007A2932">
              <w:rPr>
                <w:szCs w:val="22"/>
              </w:rPr>
              <w:t>y</w:t>
            </w:r>
            <w:r>
              <w:rPr>
                <w:szCs w:val="22"/>
              </w:rPr>
              <w:t xml:space="preserve"> chování</w:t>
            </w:r>
            <w:r w:rsidR="00595566" w:rsidRPr="00BD02A5">
              <w:rPr>
                <w:szCs w:val="22"/>
                <w:vertAlign w:val="superscript"/>
              </w:rPr>
              <w:t>3</w:t>
            </w:r>
            <w:r w:rsidR="00595566">
              <w:rPr>
                <w:szCs w:val="22"/>
              </w:rPr>
              <w:t xml:space="preserve"> </w:t>
            </w:r>
            <w:r>
              <w:rPr>
                <w:szCs w:val="22"/>
              </w:rPr>
              <w:t>(z</w:t>
            </w:r>
            <w:r w:rsidR="00BA0A39" w:rsidRPr="00E32CEC">
              <w:rPr>
                <w:szCs w:val="22"/>
              </w:rPr>
              <w:t>měny v</w:t>
            </w:r>
            <w:r w:rsidR="00595566">
              <w:rPr>
                <w:szCs w:val="22"/>
              </w:rPr>
              <w:t> </w:t>
            </w:r>
            <w:r w:rsidR="00BA0A39" w:rsidRPr="00E32CEC">
              <w:rPr>
                <w:szCs w:val="22"/>
              </w:rPr>
              <w:t>chování</w:t>
            </w:r>
            <w:r w:rsidR="00595566">
              <w:rPr>
                <w:szCs w:val="22"/>
              </w:rPr>
              <w:t>)</w:t>
            </w:r>
          </w:p>
        </w:tc>
      </w:tr>
    </w:tbl>
    <w:p w14:paraId="05C3ADDA" w14:textId="77777777" w:rsidR="00BA0A39" w:rsidRDefault="00BA0A39" w:rsidP="00BA0A39">
      <w:pPr>
        <w:tabs>
          <w:tab w:val="clear" w:pos="567"/>
        </w:tabs>
        <w:spacing w:line="240" w:lineRule="auto"/>
        <w:rPr>
          <w:szCs w:val="22"/>
        </w:rPr>
      </w:pPr>
      <w:r w:rsidRPr="00616A2D">
        <w:rPr>
          <w:szCs w:val="22"/>
          <w:vertAlign w:val="superscript"/>
        </w:rPr>
        <w:t xml:space="preserve">1 </w:t>
      </w:r>
      <w:r>
        <w:rPr>
          <w:szCs w:val="22"/>
        </w:rPr>
        <w:t>R</w:t>
      </w:r>
      <w:r w:rsidRPr="00E32CEC">
        <w:t>eakce způsobené anaerobní infekcí</w:t>
      </w:r>
      <w:r>
        <w:t xml:space="preserve">, </w:t>
      </w:r>
      <w:r w:rsidRPr="00E32CEC">
        <w:t>zejména v případě intramuskulárního podání</w:t>
      </w:r>
    </w:p>
    <w:p w14:paraId="3EF147DB" w14:textId="77777777" w:rsidR="00BA0A39" w:rsidRPr="00E32CEC" w:rsidRDefault="00BA0A39" w:rsidP="00BA0A39">
      <w:pPr>
        <w:tabs>
          <w:tab w:val="clear" w:pos="567"/>
        </w:tabs>
        <w:spacing w:line="240" w:lineRule="auto"/>
        <w:jc w:val="both"/>
      </w:pPr>
      <w:r w:rsidRPr="00616A2D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E32CEC">
        <w:rPr>
          <w:szCs w:val="22"/>
        </w:rPr>
        <w:t>Při použití pro indukci porodu může dojít ke zvýšenému výskytu zadržené placenty v závislosti na době léčby vzhledem k datu zabřeznutí</w:t>
      </w:r>
      <w:r w:rsidRPr="00E32CEC">
        <w:t>.</w:t>
      </w:r>
    </w:p>
    <w:p w14:paraId="495E7739" w14:textId="74B69C0A" w:rsidR="00BA0A39" w:rsidRDefault="00BA0A39" w:rsidP="00BA0A39">
      <w:pPr>
        <w:tabs>
          <w:tab w:val="clear" w:pos="567"/>
        </w:tabs>
        <w:spacing w:line="240" w:lineRule="auto"/>
        <w:rPr>
          <w:szCs w:val="22"/>
        </w:rPr>
      </w:pPr>
      <w:r w:rsidRPr="00616A2D">
        <w:rPr>
          <w:szCs w:val="22"/>
          <w:vertAlign w:val="superscript"/>
        </w:rPr>
        <w:t>3</w:t>
      </w:r>
      <w:r>
        <w:rPr>
          <w:szCs w:val="22"/>
        </w:rPr>
        <w:t xml:space="preserve"> P</w:t>
      </w:r>
      <w:r w:rsidRPr="00E32CEC">
        <w:rPr>
          <w:szCs w:val="22"/>
        </w:rPr>
        <w:t>ozorované po léčbě při vyvolání porodu</w:t>
      </w:r>
      <w:r w:rsidR="007A2932">
        <w:rPr>
          <w:szCs w:val="22"/>
        </w:rPr>
        <w:t>. Změny</w:t>
      </w:r>
      <w:r w:rsidRPr="00E32CEC">
        <w:rPr>
          <w:szCs w:val="22"/>
        </w:rPr>
        <w:t xml:space="preserve"> jsou obdobné jako změny spojené s přirozeným porodem a obvykle odezní do 1 hodiny.</w:t>
      </w:r>
    </w:p>
    <w:p w14:paraId="691CBB9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15532AB" w14:textId="77777777" w:rsidR="00BA0A39" w:rsidRDefault="00BA0A39" w:rsidP="00BA0A39">
      <w:pPr>
        <w:tabs>
          <w:tab w:val="clear" w:pos="567"/>
        </w:tabs>
        <w:spacing w:line="240" w:lineRule="auto"/>
        <w:ind w:left="567" w:hanging="567"/>
      </w:pPr>
      <w:r>
        <w:t>K</w:t>
      </w:r>
      <w:r w:rsidRPr="00E32CEC">
        <w:t>oně (klisny)</w:t>
      </w:r>
      <w:r>
        <w:t>:</w:t>
      </w:r>
    </w:p>
    <w:p w14:paraId="6C85C560" w14:textId="77777777" w:rsidR="00BA0A39" w:rsidRDefault="00BA0A39" w:rsidP="00BA0A3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A0A39" w14:paraId="05F11534" w14:textId="77777777" w:rsidTr="001F0977">
        <w:tc>
          <w:tcPr>
            <w:tcW w:w="1957" w:type="pct"/>
          </w:tcPr>
          <w:p w14:paraId="62F1EC6F" w14:textId="77777777" w:rsidR="00BA0A39" w:rsidRPr="00B41D57" w:rsidRDefault="00BA0A39" w:rsidP="001F0977">
            <w:pPr>
              <w:spacing w:before="60" w:after="60"/>
              <w:rPr>
                <w:szCs w:val="22"/>
              </w:rPr>
            </w:pPr>
            <w:r w:rsidRPr="00B41D57">
              <w:t>Časté</w:t>
            </w:r>
          </w:p>
          <w:p w14:paraId="76084233" w14:textId="77777777" w:rsidR="00BA0A39" w:rsidRPr="00B41D57" w:rsidRDefault="00BA0A39" w:rsidP="001F0977">
            <w:pPr>
              <w:spacing w:before="60" w:after="60"/>
              <w:rPr>
                <w:szCs w:val="22"/>
              </w:rPr>
            </w:pPr>
            <w:r w:rsidRPr="00B41D57">
              <w:t>(1 až 10 zvířat / 100 ošetřených zvířat):</w:t>
            </w:r>
          </w:p>
        </w:tc>
        <w:tc>
          <w:tcPr>
            <w:tcW w:w="3043" w:type="pct"/>
          </w:tcPr>
          <w:p w14:paraId="35E0A39A" w14:textId="3AA51568" w:rsidR="00BA0A39" w:rsidRPr="007E1B6E" w:rsidRDefault="00BA0A39" w:rsidP="001F0977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Infekce v</w:t>
            </w:r>
            <w:r w:rsidR="007A2932">
              <w:rPr>
                <w:iCs/>
                <w:szCs w:val="22"/>
              </w:rPr>
              <w:t> </w:t>
            </w:r>
            <w:r>
              <w:rPr>
                <w:iCs/>
                <w:szCs w:val="22"/>
              </w:rPr>
              <w:t>místě</w:t>
            </w:r>
            <w:r w:rsidR="007A2932">
              <w:rPr>
                <w:iCs/>
                <w:szCs w:val="22"/>
              </w:rPr>
              <w:t xml:space="preserve"> inje</w:t>
            </w:r>
            <w:r w:rsidR="000E6B09">
              <w:rPr>
                <w:iCs/>
                <w:szCs w:val="22"/>
              </w:rPr>
              <w:t>kčního</w:t>
            </w:r>
            <w:r>
              <w:rPr>
                <w:iCs/>
                <w:szCs w:val="22"/>
              </w:rPr>
              <w:t xml:space="preserve"> podání</w:t>
            </w:r>
            <w:r w:rsidRPr="007E1B6E">
              <w:rPr>
                <w:iCs/>
                <w:szCs w:val="22"/>
                <w:vertAlign w:val="superscript"/>
              </w:rPr>
              <w:t>1</w:t>
            </w:r>
            <w:r>
              <w:rPr>
                <w:iCs/>
                <w:szCs w:val="22"/>
                <w:vertAlign w:val="superscript"/>
              </w:rPr>
              <w:t xml:space="preserve"> </w:t>
            </w:r>
            <w:r>
              <w:rPr>
                <w:iCs/>
                <w:szCs w:val="22"/>
              </w:rPr>
              <w:t>(</w:t>
            </w:r>
            <w:r w:rsidRPr="00E32CEC">
              <w:t xml:space="preserve">otok v místě </w:t>
            </w:r>
            <w:r w:rsidR="000E6B09">
              <w:t xml:space="preserve">injekčního </w:t>
            </w:r>
            <w:r w:rsidRPr="00E32CEC">
              <w:t>podání</w:t>
            </w:r>
            <w:r w:rsidR="005D4117">
              <w:t>, krepitace (praskoty</w:t>
            </w:r>
            <w:r>
              <w:t>)</w:t>
            </w:r>
          </w:p>
        </w:tc>
      </w:tr>
      <w:tr w:rsidR="00BA0A39" w14:paraId="131FE016" w14:textId="77777777" w:rsidTr="001F0977">
        <w:tc>
          <w:tcPr>
            <w:tcW w:w="1957" w:type="pct"/>
          </w:tcPr>
          <w:p w14:paraId="0CC71F98" w14:textId="77777777" w:rsidR="00BA0A39" w:rsidRDefault="00BA0A39" w:rsidP="001F0977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Neznámá četnost</w:t>
            </w:r>
          </w:p>
          <w:p w14:paraId="4E13CA6F" w14:textId="77777777" w:rsidR="00BA0A39" w:rsidRPr="00B41D57" w:rsidRDefault="00BA0A39" w:rsidP="001F0977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 xml:space="preserve">(z dostupných údajů nelze určit):  </w:t>
            </w:r>
          </w:p>
        </w:tc>
        <w:tc>
          <w:tcPr>
            <w:tcW w:w="3043" w:type="pct"/>
          </w:tcPr>
          <w:p w14:paraId="6849D159" w14:textId="77777777" w:rsidR="00BA0A39" w:rsidRDefault="00BA0A39" w:rsidP="001F097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E32CEC">
              <w:rPr>
                <w:szCs w:val="22"/>
              </w:rPr>
              <w:t>adržen</w:t>
            </w:r>
            <w:r>
              <w:rPr>
                <w:szCs w:val="22"/>
              </w:rPr>
              <w:t>í</w:t>
            </w:r>
            <w:r w:rsidRPr="00E32CEC">
              <w:rPr>
                <w:szCs w:val="22"/>
              </w:rPr>
              <w:t xml:space="preserve"> placenty</w:t>
            </w:r>
            <w:r w:rsidRPr="007E1B6E">
              <w:rPr>
                <w:szCs w:val="22"/>
                <w:vertAlign w:val="superscript"/>
              </w:rPr>
              <w:t>2</w:t>
            </w:r>
          </w:p>
          <w:p w14:paraId="72F1390B" w14:textId="77777777" w:rsidR="00BA0A39" w:rsidRDefault="00BA0A39" w:rsidP="001F097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 xml:space="preserve">Zvýšené </w:t>
            </w:r>
            <w:r w:rsidRPr="00E32CEC">
              <w:rPr>
                <w:szCs w:val="22"/>
              </w:rPr>
              <w:t>pocení</w:t>
            </w:r>
            <w:r>
              <w:rPr>
                <w:szCs w:val="22"/>
              </w:rPr>
              <w:t xml:space="preserve"> </w:t>
            </w:r>
            <w:r w:rsidRPr="002E7BFC">
              <w:rPr>
                <w:szCs w:val="22"/>
                <w:vertAlign w:val="superscript"/>
              </w:rPr>
              <w:t>3,4</w:t>
            </w:r>
          </w:p>
          <w:p w14:paraId="2B26428C" w14:textId="3EE5891B" w:rsidR="00BA0A39" w:rsidRPr="00953BBD" w:rsidRDefault="00BA0A39" w:rsidP="001F097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</w:t>
            </w:r>
            <w:r w:rsidRPr="00E32CEC">
              <w:rPr>
                <w:szCs w:val="22"/>
              </w:rPr>
              <w:t>výšen</w:t>
            </w:r>
            <w:r w:rsidR="000E6B09">
              <w:rPr>
                <w:szCs w:val="22"/>
              </w:rPr>
              <w:t>á</w:t>
            </w:r>
            <w:r w:rsidRPr="00E32CEC">
              <w:rPr>
                <w:szCs w:val="22"/>
              </w:rPr>
              <w:t xml:space="preserve"> dechov</w:t>
            </w:r>
            <w:r w:rsidR="007E7DF3">
              <w:rPr>
                <w:szCs w:val="22"/>
              </w:rPr>
              <w:t>á</w:t>
            </w:r>
            <w:r w:rsidRPr="00E32CEC">
              <w:rPr>
                <w:szCs w:val="22"/>
              </w:rPr>
              <w:t xml:space="preserve"> frekvence</w:t>
            </w:r>
            <w:r>
              <w:rPr>
                <w:szCs w:val="22"/>
              </w:rPr>
              <w:t xml:space="preserve"> </w:t>
            </w:r>
            <w:r w:rsidRPr="00953BBD">
              <w:rPr>
                <w:szCs w:val="22"/>
                <w:vertAlign w:val="superscript"/>
              </w:rPr>
              <w:t>4</w:t>
            </w:r>
          </w:p>
          <w:p w14:paraId="75D3CFE5" w14:textId="06C9B9DD" w:rsidR="00BA0A39" w:rsidRDefault="00BA0A39" w:rsidP="001F0977">
            <w:pPr>
              <w:spacing w:before="60" w:after="60"/>
              <w:rPr>
                <w:szCs w:val="22"/>
                <w:vertAlign w:val="superscript"/>
              </w:rPr>
            </w:pPr>
            <w:r>
              <w:rPr>
                <w:szCs w:val="22"/>
              </w:rPr>
              <w:t>Zvýšen</w:t>
            </w:r>
            <w:r w:rsidR="000E6B09">
              <w:rPr>
                <w:szCs w:val="22"/>
              </w:rPr>
              <w:t>á</w:t>
            </w:r>
            <w:r>
              <w:rPr>
                <w:szCs w:val="22"/>
              </w:rPr>
              <w:t xml:space="preserve"> </w:t>
            </w:r>
            <w:r w:rsidRPr="00E32CEC">
              <w:rPr>
                <w:szCs w:val="22"/>
              </w:rPr>
              <w:t>srdeční frekvence</w:t>
            </w:r>
            <w:r>
              <w:rPr>
                <w:szCs w:val="22"/>
              </w:rPr>
              <w:t xml:space="preserve"> </w:t>
            </w:r>
            <w:r w:rsidRPr="00953BBD">
              <w:rPr>
                <w:szCs w:val="22"/>
                <w:vertAlign w:val="superscript"/>
              </w:rPr>
              <w:t>4</w:t>
            </w:r>
          </w:p>
          <w:p w14:paraId="59DB78A1" w14:textId="77777777" w:rsidR="00BA0A39" w:rsidRDefault="00BA0A39" w:rsidP="001F0977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P</w:t>
            </w:r>
            <w:r w:rsidRPr="00E32CEC">
              <w:rPr>
                <w:szCs w:val="22"/>
              </w:rPr>
              <w:t>říznak</w:t>
            </w:r>
            <w:r>
              <w:rPr>
                <w:szCs w:val="22"/>
              </w:rPr>
              <w:t>y</w:t>
            </w:r>
            <w:r w:rsidRPr="00E32CEC">
              <w:rPr>
                <w:szCs w:val="22"/>
              </w:rPr>
              <w:t xml:space="preserve"> koliky</w:t>
            </w:r>
            <w:r>
              <w:rPr>
                <w:szCs w:val="22"/>
              </w:rPr>
              <w:t xml:space="preserve"> </w:t>
            </w:r>
            <w:r w:rsidRPr="00953BBD">
              <w:rPr>
                <w:szCs w:val="22"/>
                <w:vertAlign w:val="superscript"/>
              </w:rPr>
              <w:t>4</w:t>
            </w:r>
            <w:r w:rsidRPr="00E32CEC">
              <w:rPr>
                <w:szCs w:val="22"/>
              </w:rPr>
              <w:t xml:space="preserve">, vodnatého průjmu </w:t>
            </w:r>
            <w:r w:rsidRPr="00953BBD">
              <w:rPr>
                <w:szCs w:val="22"/>
                <w:vertAlign w:val="superscript"/>
              </w:rPr>
              <w:t>4</w:t>
            </w:r>
            <w:r>
              <w:rPr>
                <w:szCs w:val="22"/>
              </w:rPr>
              <w:t xml:space="preserve"> </w:t>
            </w:r>
          </w:p>
          <w:p w14:paraId="53AF9CD1" w14:textId="77777777" w:rsidR="00BA0A39" w:rsidRPr="00B41D57" w:rsidRDefault="00BA0A39" w:rsidP="001F0977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D</w:t>
            </w:r>
            <w:r w:rsidRPr="00E32CEC">
              <w:rPr>
                <w:szCs w:val="22"/>
              </w:rPr>
              <w:t>eprese</w:t>
            </w:r>
            <w:r>
              <w:rPr>
                <w:szCs w:val="22"/>
              </w:rPr>
              <w:t xml:space="preserve"> </w:t>
            </w:r>
            <w:r w:rsidRPr="00953BBD">
              <w:rPr>
                <w:szCs w:val="22"/>
                <w:vertAlign w:val="superscript"/>
              </w:rPr>
              <w:t>4</w:t>
            </w:r>
          </w:p>
        </w:tc>
      </w:tr>
    </w:tbl>
    <w:p w14:paraId="48E45D85" w14:textId="77777777" w:rsidR="00BA0A39" w:rsidRDefault="00BA0A39" w:rsidP="00BA0A39">
      <w:pPr>
        <w:tabs>
          <w:tab w:val="clear" w:pos="567"/>
        </w:tabs>
        <w:spacing w:line="240" w:lineRule="auto"/>
        <w:rPr>
          <w:szCs w:val="22"/>
        </w:rPr>
      </w:pPr>
      <w:r w:rsidRPr="00616A2D">
        <w:rPr>
          <w:szCs w:val="22"/>
          <w:vertAlign w:val="superscript"/>
        </w:rPr>
        <w:t>1</w:t>
      </w:r>
      <w:r>
        <w:rPr>
          <w:szCs w:val="22"/>
        </w:rPr>
        <w:t xml:space="preserve"> R</w:t>
      </w:r>
      <w:r w:rsidRPr="00E32CEC">
        <w:t>eakce způsobené anaerobní infekcí</w:t>
      </w:r>
      <w:r>
        <w:t xml:space="preserve">, </w:t>
      </w:r>
      <w:r w:rsidRPr="00E32CEC">
        <w:t>zejména v případě intramuskulárního podání</w:t>
      </w:r>
      <w:r>
        <w:t>.</w:t>
      </w:r>
    </w:p>
    <w:p w14:paraId="7BE493A0" w14:textId="77777777" w:rsidR="00BA0A39" w:rsidRPr="00E32CEC" w:rsidRDefault="00BA0A39" w:rsidP="00BA0A39">
      <w:pPr>
        <w:tabs>
          <w:tab w:val="clear" w:pos="567"/>
        </w:tabs>
        <w:spacing w:line="240" w:lineRule="auto"/>
        <w:jc w:val="both"/>
      </w:pPr>
      <w:r w:rsidRPr="00616A2D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E32CEC">
        <w:rPr>
          <w:szCs w:val="22"/>
        </w:rPr>
        <w:t>Při použití pro indukci porodu může dojít ke zvýšenému výskytu zadržené placenty v závislosti na době léčby vzhledem k datu zabřeznutí</w:t>
      </w:r>
      <w:r w:rsidRPr="00E32CEC">
        <w:t>.</w:t>
      </w:r>
    </w:p>
    <w:p w14:paraId="0B0058F0" w14:textId="0570B17F" w:rsidR="00BA0A39" w:rsidRDefault="00BA0A39" w:rsidP="00BA0A39">
      <w:pPr>
        <w:tabs>
          <w:tab w:val="clear" w:pos="567"/>
        </w:tabs>
        <w:spacing w:line="240" w:lineRule="auto"/>
        <w:rPr>
          <w:szCs w:val="22"/>
        </w:rPr>
      </w:pPr>
      <w:r w:rsidRPr="00616A2D">
        <w:rPr>
          <w:szCs w:val="22"/>
          <w:vertAlign w:val="superscript"/>
        </w:rPr>
        <w:t xml:space="preserve">3 </w:t>
      </w:r>
      <w:r>
        <w:rPr>
          <w:szCs w:val="22"/>
        </w:rPr>
        <w:t>O</w:t>
      </w:r>
      <w:r w:rsidRPr="00E32CEC">
        <w:rPr>
          <w:szCs w:val="22"/>
        </w:rPr>
        <w:t xml:space="preserve">bjevuje </w:t>
      </w:r>
      <w:r w:rsidR="000E6B09">
        <w:rPr>
          <w:szCs w:val="22"/>
        </w:rPr>
        <w:t xml:space="preserve">se </w:t>
      </w:r>
      <w:r w:rsidRPr="00E32CEC">
        <w:rPr>
          <w:szCs w:val="22"/>
        </w:rPr>
        <w:t>v průběhu 20 minut po podání</w:t>
      </w:r>
      <w:r>
        <w:rPr>
          <w:szCs w:val="22"/>
        </w:rPr>
        <w:t>.</w:t>
      </w:r>
    </w:p>
    <w:p w14:paraId="2760B3C0" w14:textId="5E5D3932" w:rsidR="00BA0A39" w:rsidRDefault="00BA0A39" w:rsidP="00BA0A39">
      <w:pPr>
        <w:tabs>
          <w:tab w:val="clear" w:pos="567"/>
        </w:tabs>
        <w:spacing w:line="240" w:lineRule="auto"/>
        <w:rPr>
          <w:szCs w:val="22"/>
        </w:rPr>
      </w:pPr>
      <w:r w:rsidRPr="00616A2D">
        <w:rPr>
          <w:szCs w:val="22"/>
          <w:vertAlign w:val="superscript"/>
        </w:rPr>
        <w:t>4</w:t>
      </w:r>
      <w:r>
        <w:rPr>
          <w:szCs w:val="22"/>
        </w:rPr>
        <w:t xml:space="preserve"> M</w:t>
      </w:r>
      <w:r w:rsidRPr="00E32CEC">
        <w:rPr>
          <w:szCs w:val="22"/>
        </w:rPr>
        <w:t>ohou</w:t>
      </w:r>
      <w:r w:rsidR="000E6B09">
        <w:rPr>
          <w:szCs w:val="22"/>
        </w:rPr>
        <w:t xml:space="preserve"> se</w:t>
      </w:r>
      <w:r w:rsidRPr="00E32CEC">
        <w:rPr>
          <w:szCs w:val="22"/>
        </w:rPr>
        <w:t xml:space="preserve"> objevit, pokud jsou podávány výjimečně vysoké dávky.</w:t>
      </w:r>
      <w:r w:rsidRPr="00B36AA8">
        <w:rPr>
          <w:szCs w:val="22"/>
        </w:rPr>
        <w:t xml:space="preserve"> </w:t>
      </w:r>
      <w:r w:rsidRPr="00E32CEC">
        <w:rPr>
          <w:szCs w:val="22"/>
        </w:rPr>
        <w:t>Nežádoucí účinky jsou však obvykle mírné a přechodné</w:t>
      </w:r>
      <w:r>
        <w:rPr>
          <w:szCs w:val="22"/>
        </w:rPr>
        <w:t>.</w:t>
      </w:r>
    </w:p>
    <w:p w14:paraId="6042BEBA" w14:textId="77777777" w:rsidR="00BA0A39" w:rsidRPr="00B41D57" w:rsidRDefault="00BA0A39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F01681" w14:textId="68E9FB19" w:rsidR="008C7CE5" w:rsidRDefault="00616A2D" w:rsidP="003B5554">
      <w:pPr>
        <w:jc w:val="both"/>
      </w:pPr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0F86324C" w14:textId="77777777" w:rsidR="00BA0A39" w:rsidRDefault="00BA0A39" w:rsidP="00BA0A39">
      <w:pPr>
        <w:jc w:val="both"/>
        <w:rPr>
          <w:szCs w:val="22"/>
        </w:rPr>
      </w:pPr>
      <w:r>
        <w:rPr>
          <w:szCs w:val="22"/>
        </w:rPr>
        <w:lastRenderedPageBreak/>
        <w:t>Ústav pro státní kontrolu veterinárních biopreparátů a léčiv</w:t>
      </w:r>
    </w:p>
    <w:p w14:paraId="2A445132" w14:textId="3968220F" w:rsidR="00BA0A39" w:rsidRDefault="00BA0A39" w:rsidP="00BA0A39">
      <w:pPr>
        <w:jc w:val="both"/>
        <w:rPr>
          <w:szCs w:val="22"/>
        </w:rPr>
      </w:pPr>
      <w:r>
        <w:rPr>
          <w:szCs w:val="22"/>
        </w:rPr>
        <w:t>Hudcova 232/56</w:t>
      </w:r>
      <w:r w:rsidR="000E6B09">
        <w:rPr>
          <w:szCs w:val="22"/>
        </w:rPr>
        <w:t xml:space="preserve"> </w:t>
      </w:r>
      <w:r>
        <w:rPr>
          <w:szCs w:val="22"/>
        </w:rPr>
        <w:t>a</w:t>
      </w:r>
    </w:p>
    <w:p w14:paraId="19EBBEDD" w14:textId="77777777" w:rsidR="00BA0A39" w:rsidRDefault="00BA0A39" w:rsidP="00BA0A39">
      <w:pPr>
        <w:jc w:val="both"/>
        <w:rPr>
          <w:szCs w:val="22"/>
        </w:rPr>
      </w:pPr>
      <w:r>
        <w:rPr>
          <w:szCs w:val="22"/>
        </w:rPr>
        <w:t>621 00 Brno</w:t>
      </w:r>
    </w:p>
    <w:p w14:paraId="0405D3A5" w14:textId="6AEF6CB1" w:rsidR="00BA0A39" w:rsidRDefault="00BA0A39" w:rsidP="00BA0A39">
      <w:pPr>
        <w:jc w:val="both"/>
        <w:rPr>
          <w:rStyle w:val="Hypertextovodkaz"/>
          <w:szCs w:val="22"/>
        </w:rPr>
      </w:pPr>
      <w:r>
        <w:rPr>
          <w:szCs w:val="22"/>
        </w:rPr>
        <w:t xml:space="preserve">E-mail: </w:t>
      </w:r>
      <w:hyperlink r:id="rId11" w:history="1">
        <w:r w:rsidRPr="009F3388">
          <w:rPr>
            <w:rStyle w:val="Hypertextovodkaz"/>
            <w:szCs w:val="22"/>
          </w:rPr>
          <w:t>adr@uskvbl.cz</w:t>
        </w:r>
      </w:hyperlink>
    </w:p>
    <w:p w14:paraId="34D15FF9" w14:textId="0E5F5B45" w:rsidR="000E6B09" w:rsidRDefault="000E6B09" w:rsidP="000E6B09">
      <w:r>
        <w:t>Tel.: +420 720 940 693</w:t>
      </w:r>
    </w:p>
    <w:p w14:paraId="6E950C9F" w14:textId="77777777" w:rsidR="00BA0A39" w:rsidRDefault="00BA0A39" w:rsidP="00BA0A39">
      <w:pPr>
        <w:jc w:val="both"/>
        <w:rPr>
          <w:szCs w:val="22"/>
        </w:rPr>
      </w:pPr>
      <w:r>
        <w:rPr>
          <w:szCs w:val="22"/>
        </w:rPr>
        <w:t xml:space="preserve">Webové stránky: </w:t>
      </w:r>
      <w:hyperlink r:id="rId12" w:history="1">
        <w:r w:rsidRPr="009F3388">
          <w:rPr>
            <w:rStyle w:val="Hypertextovodkaz"/>
            <w:szCs w:val="22"/>
          </w:rPr>
          <w:t>https://www.uskvbl.cz/cs/farmakovigilance</w:t>
        </w:r>
      </w:hyperlink>
      <w:r>
        <w:rPr>
          <w:szCs w:val="22"/>
        </w:rPr>
        <w:t xml:space="preserve"> </w:t>
      </w:r>
    </w:p>
    <w:p w14:paraId="3445414D" w14:textId="77777777" w:rsidR="00BA0A39" w:rsidRPr="00BA0A39" w:rsidRDefault="00BA0A39" w:rsidP="003B5554">
      <w:pPr>
        <w:jc w:val="both"/>
        <w:rPr>
          <w:szCs w:val="22"/>
        </w:rPr>
      </w:pPr>
    </w:p>
    <w:bookmarkEnd w:id="2"/>
    <w:p w14:paraId="07E81E97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37C64D" w14:textId="47EC3221" w:rsidR="003B5554" w:rsidRPr="003B5554" w:rsidRDefault="003F6322" w:rsidP="003B5554">
      <w:pPr>
        <w:tabs>
          <w:tab w:val="clear" w:pos="567"/>
        </w:tabs>
        <w:spacing w:line="240" w:lineRule="auto"/>
        <w:ind w:left="567" w:hanging="567"/>
      </w:pPr>
      <w:r>
        <w:t>I</w:t>
      </w:r>
      <w:r w:rsidR="003B5554" w:rsidRPr="003B5554">
        <w:t>ntramuskulární podání.</w:t>
      </w:r>
    </w:p>
    <w:p w14:paraId="49BF7AB9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</w:p>
    <w:p w14:paraId="51D3E3B2" w14:textId="77777777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jc w:val="both"/>
      </w:pPr>
      <w:r w:rsidRPr="003B5554">
        <w:rPr>
          <w:b/>
        </w:rPr>
        <w:t>KRÁVY:</w:t>
      </w:r>
      <w:r w:rsidRPr="003B5554">
        <w:t xml:space="preserve"> </w:t>
      </w:r>
    </w:p>
    <w:p w14:paraId="48D3115C" w14:textId="762C523B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jc w:val="both"/>
      </w:pPr>
      <w:r w:rsidRPr="003B5554">
        <w:t xml:space="preserve">Jedna dávka (2 ml) </w:t>
      </w:r>
      <w:r w:rsidR="003F6322">
        <w:t xml:space="preserve">veterinárního léčivého </w:t>
      </w:r>
      <w:r w:rsidRPr="003B5554">
        <w:t xml:space="preserve">přípravku </w:t>
      </w:r>
      <w:r w:rsidRPr="005F79D9">
        <w:rPr>
          <w:i/>
        </w:rPr>
        <w:t>pro toto</w:t>
      </w:r>
      <w:r w:rsidRPr="003B5554">
        <w:t xml:space="preserve"> (odpovídá 150 µg d-kloprostenolu </w:t>
      </w:r>
      <w:r w:rsidRPr="005F79D9">
        <w:rPr>
          <w:i/>
        </w:rPr>
        <w:t>pro toto</w:t>
      </w:r>
      <w:r w:rsidRPr="003B5554">
        <w:t>):</w:t>
      </w:r>
    </w:p>
    <w:p w14:paraId="644DCD43" w14:textId="77777777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jc w:val="both"/>
      </w:pPr>
    </w:p>
    <w:p w14:paraId="17C87130" w14:textId="1292866B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jc w:val="both"/>
      </w:pPr>
      <w:r w:rsidRPr="003B5554">
        <w:rPr>
          <w:b/>
        </w:rPr>
        <w:t xml:space="preserve">-  Vyvolání říje </w:t>
      </w:r>
      <w:r w:rsidRPr="003B5554">
        <w:t>(také u krav se slabou nebo tichou říj</w:t>
      </w:r>
      <w:r w:rsidR="006562AC">
        <w:t>í</w:t>
      </w:r>
      <w:r w:rsidRPr="003B5554">
        <w:t xml:space="preserve">): jednu dávku </w:t>
      </w:r>
      <w:r w:rsidR="003F6322">
        <w:t xml:space="preserve">veterinárního léčivého </w:t>
      </w:r>
      <w:r w:rsidRPr="003B5554">
        <w:t xml:space="preserve">přípravku podat po zjištění přítomnosti žlutého tělíska (6.-18. den cyklu). Říje se obvykle objeví během 48 až 60 hodin. Inseminace následuje 72 až 96 hodin po injekčním podání.  Pokud není zjevná říje, musí být podání </w:t>
      </w:r>
      <w:r w:rsidR="003F6322">
        <w:t xml:space="preserve">veterinárního léčivého </w:t>
      </w:r>
      <w:r w:rsidRPr="003B5554">
        <w:t>přípravku zopakováno 11 dní po prvním injekčním podání.</w:t>
      </w:r>
    </w:p>
    <w:p w14:paraId="7FAAFCD9" w14:textId="77777777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jc w:val="both"/>
      </w:pPr>
    </w:p>
    <w:p w14:paraId="5DB31CCC" w14:textId="38BCB792" w:rsidR="003B5554" w:rsidRPr="003B5554" w:rsidRDefault="003B5554" w:rsidP="003B5554">
      <w:pPr>
        <w:numPr>
          <w:ilvl w:val="0"/>
          <w:numId w:val="44"/>
        </w:numPr>
        <w:tabs>
          <w:tab w:val="clear" w:pos="567"/>
        </w:tabs>
        <w:spacing w:line="240" w:lineRule="auto"/>
        <w:ind w:left="284" w:hanging="284"/>
        <w:contextualSpacing/>
        <w:jc w:val="both"/>
        <w:rPr>
          <w:sz w:val="20"/>
        </w:rPr>
      </w:pPr>
      <w:r w:rsidRPr="003B5554">
        <w:rPr>
          <w:b/>
        </w:rPr>
        <w:t>Synchronizace říje:</w:t>
      </w:r>
      <w:r w:rsidRPr="003B5554">
        <w:t xml:space="preserve"> podat jednu dávku </w:t>
      </w:r>
      <w:r w:rsidR="003F6322">
        <w:t xml:space="preserve">veterinárního léčivého </w:t>
      </w:r>
      <w:r w:rsidRPr="003B5554">
        <w:t>přípravku dvakrát (s intervalem 11 dnů mezi oběma dávkami). Pokračuje se proto dvěma umělými inseminacemi v intervalech 72 a 96 hodin po druhé dávce.</w:t>
      </w:r>
    </w:p>
    <w:p w14:paraId="3B64A3A3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contextualSpacing/>
        <w:jc w:val="both"/>
        <w:rPr>
          <w:sz w:val="20"/>
        </w:rPr>
      </w:pPr>
    </w:p>
    <w:p w14:paraId="1EE682C7" w14:textId="72D65C3C" w:rsidR="003B5554" w:rsidRPr="003B5554" w:rsidRDefault="003B5554" w:rsidP="003B5554">
      <w:pPr>
        <w:tabs>
          <w:tab w:val="clear" w:pos="567"/>
        </w:tabs>
        <w:spacing w:line="240" w:lineRule="auto"/>
        <w:ind w:left="284"/>
        <w:contextualSpacing/>
        <w:jc w:val="both"/>
        <w:rPr>
          <w:sz w:val="20"/>
        </w:rPr>
      </w:pPr>
      <w:r w:rsidRPr="003B5554">
        <w:t xml:space="preserve">Podle </w:t>
      </w:r>
      <w:r w:rsidR="006562AC">
        <w:t>protokolů</w:t>
      </w:r>
      <w:r w:rsidRPr="003B5554">
        <w:t xml:space="preserve"> pro synchronizaci ovulace (</w:t>
      </w:r>
      <w:proofErr w:type="spellStart"/>
      <w:r w:rsidRPr="003B5554">
        <w:t>Ovsynch</w:t>
      </w:r>
      <w:proofErr w:type="spellEnd"/>
      <w:r w:rsidRPr="003B5554">
        <w:t xml:space="preserve"> metodiky) se může d-kloprostenol použít v kombinaci s GnRH, s nebo bez progesteronu. Odpovědný veterinární lékař rozhodne o vhodném postupu, a to na základě cíle léčby, dle léčeného stáda a ošetřovaných zvířat. Následující </w:t>
      </w:r>
      <w:r w:rsidR="006562AC">
        <w:t>protokoly</w:t>
      </w:r>
      <w:r w:rsidR="006562AC" w:rsidRPr="003B5554">
        <w:t xml:space="preserve"> </w:t>
      </w:r>
      <w:r w:rsidRPr="003B5554">
        <w:t>byly vyhodnoceny a mohou být použity:</w:t>
      </w:r>
    </w:p>
    <w:p w14:paraId="7DA110B3" w14:textId="77777777" w:rsidR="003B5554" w:rsidRDefault="003B555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371D233" w14:textId="77777777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Cs w:val="22"/>
        </w:rPr>
      </w:pPr>
      <w:r w:rsidRPr="003B5554">
        <w:rPr>
          <w:szCs w:val="22"/>
        </w:rPr>
        <w:t>Krávy v říjovém cyklu:</w:t>
      </w:r>
    </w:p>
    <w:p w14:paraId="3099B87C" w14:textId="249D6F2C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Cs w:val="22"/>
        </w:rPr>
      </w:pPr>
      <w:r w:rsidRPr="003B5554">
        <w:rPr>
          <w:szCs w:val="22"/>
        </w:rPr>
        <w:t>- 0</w:t>
      </w:r>
      <w:r w:rsidR="006562AC">
        <w:rPr>
          <w:szCs w:val="22"/>
        </w:rPr>
        <w:t>. den</w:t>
      </w:r>
      <w:r w:rsidRPr="003B5554">
        <w:rPr>
          <w:szCs w:val="22"/>
        </w:rPr>
        <w:t>: injekční podání GnRH (nebo analogu).</w:t>
      </w:r>
    </w:p>
    <w:p w14:paraId="14472B3E" w14:textId="445FD0C3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Cs w:val="22"/>
        </w:rPr>
      </w:pPr>
      <w:r w:rsidRPr="003B5554">
        <w:rPr>
          <w:szCs w:val="22"/>
        </w:rPr>
        <w:t xml:space="preserve">- 7. den: injekční podání d-kloprostenolu (jedna dávka </w:t>
      </w:r>
      <w:r w:rsidR="003F6322">
        <w:t xml:space="preserve">veterinárního léčivého </w:t>
      </w:r>
      <w:r w:rsidRPr="003B5554">
        <w:rPr>
          <w:szCs w:val="22"/>
        </w:rPr>
        <w:t>přípravku).</w:t>
      </w:r>
    </w:p>
    <w:p w14:paraId="095293DD" w14:textId="77777777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Cs w:val="22"/>
        </w:rPr>
      </w:pPr>
      <w:r w:rsidRPr="003B5554">
        <w:rPr>
          <w:szCs w:val="22"/>
        </w:rPr>
        <w:t>- 9. den: injekční podání GnRH (nebo analogu).</w:t>
      </w:r>
    </w:p>
    <w:p w14:paraId="3FFF2A73" w14:textId="1BA95155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Cs w:val="22"/>
        </w:rPr>
      </w:pPr>
      <w:r w:rsidRPr="003B5554">
        <w:rPr>
          <w:szCs w:val="22"/>
        </w:rPr>
        <w:t>- 16-24 hodin poté provedení umělé inseminace.</w:t>
      </w:r>
    </w:p>
    <w:p w14:paraId="3B0C5B37" w14:textId="77777777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contextualSpacing/>
        <w:jc w:val="both"/>
      </w:pPr>
    </w:p>
    <w:p w14:paraId="641413DC" w14:textId="77777777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contextualSpacing/>
        <w:jc w:val="both"/>
      </w:pPr>
      <w:r w:rsidRPr="003B5554">
        <w:t>Alternativně u cyklujících nebo necyklujících krav a jalovic:</w:t>
      </w:r>
    </w:p>
    <w:p w14:paraId="714AD8AD" w14:textId="49A1EB97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Cs w:val="22"/>
        </w:rPr>
      </w:pPr>
      <w:r w:rsidRPr="003B5554">
        <w:rPr>
          <w:szCs w:val="22"/>
        </w:rPr>
        <w:t>- 0</w:t>
      </w:r>
      <w:r w:rsidR="006562AC">
        <w:rPr>
          <w:szCs w:val="22"/>
        </w:rPr>
        <w:t>. den</w:t>
      </w:r>
      <w:r w:rsidRPr="003B5554">
        <w:rPr>
          <w:szCs w:val="22"/>
        </w:rPr>
        <w:t xml:space="preserve">: zavedení </w:t>
      </w:r>
      <w:proofErr w:type="spellStart"/>
      <w:r w:rsidRPr="003B5554">
        <w:rPr>
          <w:szCs w:val="22"/>
        </w:rPr>
        <w:t>intravaginálního</w:t>
      </w:r>
      <w:proofErr w:type="spellEnd"/>
      <w:r w:rsidRPr="003B5554">
        <w:rPr>
          <w:szCs w:val="22"/>
        </w:rPr>
        <w:t xml:space="preserve"> tělíska s progesteronem a injekční podání GnRH (nebo analogu).</w:t>
      </w:r>
    </w:p>
    <w:p w14:paraId="5F676B6B" w14:textId="0306FB0A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contextualSpacing/>
        <w:jc w:val="both"/>
      </w:pPr>
      <w:r w:rsidRPr="003B5554">
        <w:t xml:space="preserve">- 7. den: vyjmutí </w:t>
      </w:r>
      <w:proofErr w:type="spellStart"/>
      <w:r w:rsidRPr="003F6322">
        <w:rPr>
          <w:szCs w:val="22"/>
        </w:rPr>
        <w:t>intravaginálního</w:t>
      </w:r>
      <w:proofErr w:type="spellEnd"/>
      <w:r w:rsidRPr="003F6322">
        <w:rPr>
          <w:szCs w:val="22"/>
        </w:rPr>
        <w:t xml:space="preserve"> tělíska </w:t>
      </w:r>
      <w:r w:rsidRPr="003B5554">
        <w:t xml:space="preserve">a injekční podání d-kloprostenolu (jedna dávka </w:t>
      </w:r>
      <w:r w:rsidR="003F6322">
        <w:t xml:space="preserve">veterinárního léčivého </w:t>
      </w:r>
      <w:r w:rsidRPr="003B5554">
        <w:t>přípravku).</w:t>
      </w:r>
    </w:p>
    <w:p w14:paraId="1D90CA67" w14:textId="77777777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contextualSpacing/>
        <w:jc w:val="both"/>
      </w:pPr>
      <w:r w:rsidRPr="003B5554">
        <w:t xml:space="preserve">- 9. den: </w:t>
      </w:r>
      <w:r w:rsidRPr="003B5554">
        <w:rPr>
          <w:szCs w:val="22"/>
        </w:rPr>
        <w:t>injekční podání</w:t>
      </w:r>
      <w:r w:rsidRPr="003B5554">
        <w:t xml:space="preserve"> GnRH (nebo analogu).</w:t>
      </w:r>
    </w:p>
    <w:p w14:paraId="56B1A5C9" w14:textId="6C7F1F8C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contextualSpacing/>
        <w:jc w:val="both"/>
      </w:pPr>
      <w:r w:rsidRPr="003B5554">
        <w:t>- 16-24 hodin poté provedení umělé inseminace.</w:t>
      </w:r>
    </w:p>
    <w:p w14:paraId="7831FE16" w14:textId="77777777" w:rsidR="003B5554" w:rsidRPr="003B5554" w:rsidRDefault="003B5554" w:rsidP="003B5554">
      <w:pPr>
        <w:tabs>
          <w:tab w:val="clear" w:pos="567"/>
        </w:tabs>
        <w:spacing w:line="240" w:lineRule="auto"/>
        <w:ind w:left="284" w:hanging="284"/>
        <w:contextualSpacing/>
        <w:jc w:val="both"/>
        <w:rPr>
          <w:sz w:val="24"/>
          <w:szCs w:val="24"/>
        </w:rPr>
      </w:pPr>
    </w:p>
    <w:p w14:paraId="30ED8BAD" w14:textId="614C240C" w:rsidR="003B5554" w:rsidRPr="003B5554" w:rsidRDefault="003B5554" w:rsidP="003B5554">
      <w:pPr>
        <w:tabs>
          <w:tab w:val="clear" w:pos="567"/>
        </w:tabs>
        <w:spacing w:line="240" w:lineRule="auto"/>
        <w:ind w:left="142" w:hanging="142"/>
        <w:contextualSpacing/>
        <w:jc w:val="both"/>
      </w:pPr>
      <w:r w:rsidRPr="003B5554">
        <w:rPr>
          <w:b/>
        </w:rPr>
        <w:t xml:space="preserve">- Vyvolání porodu: </w:t>
      </w:r>
      <w:r w:rsidRPr="003B5554">
        <w:t>podání</w:t>
      </w:r>
      <w:r w:rsidRPr="003B5554">
        <w:rPr>
          <w:b/>
        </w:rPr>
        <w:t xml:space="preserve"> </w:t>
      </w:r>
      <w:r w:rsidRPr="003B5554">
        <w:t xml:space="preserve">jedné dávky </w:t>
      </w:r>
      <w:r w:rsidR="003F6322">
        <w:t xml:space="preserve">veterinárního léčivého </w:t>
      </w:r>
      <w:r w:rsidRPr="003B5554">
        <w:t>přípravku.  K porodu obvykle dochází během 30-60 hodin po ošetření.</w:t>
      </w:r>
    </w:p>
    <w:p w14:paraId="24144517" w14:textId="77777777" w:rsidR="003B5554" w:rsidRPr="003B5554" w:rsidRDefault="003B5554" w:rsidP="003B5554">
      <w:pPr>
        <w:tabs>
          <w:tab w:val="clear" w:pos="567"/>
        </w:tabs>
        <w:spacing w:line="240" w:lineRule="auto"/>
        <w:ind w:left="142" w:hanging="142"/>
        <w:contextualSpacing/>
        <w:jc w:val="both"/>
      </w:pPr>
    </w:p>
    <w:p w14:paraId="38AB43A5" w14:textId="29C97B40" w:rsidR="003B5554" w:rsidRPr="003B5554" w:rsidRDefault="003B5554" w:rsidP="003B5554">
      <w:pPr>
        <w:tabs>
          <w:tab w:val="clear" w:pos="567"/>
        </w:tabs>
        <w:spacing w:line="240" w:lineRule="auto"/>
        <w:ind w:left="142" w:hanging="142"/>
        <w:contextualSpacing/>
        <w:jc w:val="both"/>
      </w:pPr>
      <w:r w:rsidRPr="003B5554">
        <w:rPr>
          <w:b/>
        </w:rPr>
        <w:t xml:space="preserve">- Ovariální dysfunkce (perzistentní </w:t>
      </w:r>
      <w:r w:rsidRPr="003B5554">
        <w:rPr>
          <w:b/>
          <w:i/>
        </w:rPr>
        <w:t>corpus luteum</w:t>
      </w:r>
      <w:r w:rsidRPr="003B5554">
        <w:rPr>
          <w:b/>
        </w:rPr>
        <w:t xml:space="preserve">, luteální cysta): </w:t>
      </w:r>
      <w:r w:rsidRPr="003B5554">
        <w:t xml:space="preserve">pokud je zjištěna přítomnost žlutého tělíska, podá se dávka </w:t>
      </w:r>
      <w:r w:rsidR="003F6322">
        <w:t xml:space="preserve">veterinárního léčivého </w:t>
      </w:r>
      <w:r w:rsidRPr="003B5554">
        <w:t xml:space="preserve">přípravku a následně se inseminuje při první říji po injekčním podání. </w:t>
      </w:r>
      <w:r w:rsidRPr="003B5554">
        <w:rPr>
          <w:lang w:eastAsia="es-ES"/>
        </w:rPr>
        <w:t>Pokud není zřejmá říje, provede se gynekologické vyšetření a injekční podání se opakuje 11 dní po prvním podání. Inseminace musí být vždy provedena 72–96 hodin po injekčním podání.</w:t>
      </w:r>
    </w:p>
    <w:p w14:paraId="1D4EE4F0" w14:textId="77777777" w:rsidR="003B5554" w:rsidRPr="003B5554" w:rsidRDefault="003B5554" w:rsidP="003B5554">
      <w:pPr>
        <w:tabs>
          <w:tab w:val="clear" w:pos="567"/>
        </w:tabs>
        <w:spacing w:line="240" w:lineRule="auto"/>
        <w:ind w:left="142" w:hanging="142"/>
        <w:contextualSpacing/>
        <w:jc w:val="both"/>
      </w:pPr>
    </w:p>
    <w:p w14:paraId="76B1966A" w14:textId="724A7F5A" w:rsidR="003B5554" w:rsidRPr="003B5554" w:rsidRDefault="003B5554" w:rsidP="003B5554">
      <w:pPr>
        <w:tabs>
          <w:tab w:val="clear" w:pos="567"/>
        </w:tabs>
        <w:spacing w:line="240" w:lineRule="auto"/>
        <w:ind w:left="142" w:hanging="142"/>
        <w:contextualSpacing/>
        <w:jc w:val="both"/>
      </w:pPr>
      <w:r w:rsidRPr="003B5554">
        <w:rPr>
          <w:b/>
        </w:rPr>
        <w:t xml:space="preserve">- Klinické endometritidy s přítomností funkčního </w:t>
      </w:r>
      <w:r w:rsidRPr="003B5554">
        <w:rPr>
          <w:b/>
          <w:i/>
        </w:rPr>
        <w:t>corpus luteum,</w:t>
      </w:r>
      <w:r w:rsidRPr="003B5554">
        <w:rPr>
          <w:b/>
        </w:rPr>
        <w:t xml:space="preserve"> </w:t>
      </w:r>
      <w:proofErr w:type="spellStart"/>
      <w:r w:rsidRPr="003B5554">
        <w:rPr>
          <w:b/>
        </w:rPr>
        <w:t>pyometra</w:t>
      </w:r>
      <w:proofErr w:type="spellEnd"/>
      <w:r w:rsidRPr="003B5554">
        <w:rPr>
          <w:b/>
        </w:rPr>
        <w:t xml:space="preserve">: </w:t>
      </w:r>
      <w:r w:rsidRPr="003B5554">
        <w:t xml:space="preserve">podá se jedna dávka </w:t>
      </w:r>
      <w:r w:rsidR="003F6322">
        <w:t xml:space="preserve">veterinárního léčivého </w:t>
      </w:r>
      <w:r w:rsidRPr="003B5554">
        <w:t>přípravku. V případě potřeby se léčba po 10 dnech opakuje.</w:t>
      </w:r>
    </w:p>
    <w:p w14:paraId="15E44870" w14:textId="77777777" w:rsidR="003B5554" w:rsidRPr="003B5554" w:rsidRDefault="003B5554" w:rsidP="003B5554">
      <w:pPr>
        <w:tabs>
          <w:tab w:val="clear" w:pos="567"/>
        </w:tabs>
        <w:spacing w:line="240" w:lineRule="auto"/>
        <w:ind w:left="142" w:hanging="142"/>
        <w:contextualSpacing/>
        <w:jc w:val="both"/>
        <w:rPr>
          <w:b/>
        </w:rPr>
      </w:pPr>
    </w:p>
    <w:p w14:paraId="71BBA1C3" w14:textId="55DCF201" w:rsidR="003B5554" w:rsidRPr="003B5554" w:rsidRDefault="003B5554" w:rsidP="003B5554">
      <w:pPr>
        <w:tabs>
          <w:tab w:val="clear" w:pos="567"/>
        </w:tabs>
        <w:spacing w:line="240" w:lineRule="auto"/>
        <w:ind w:left="142" w:hanging="142"/>
        <w:contextualSpacing/>
        <w:jc w:val="both"/>
      </w:pPr>
      <w:r w:rsidRPr="003B5554">
        <w:rPr>
          <w:b/>
        </w:rPr>
        <w:t xml:space="preserve">- Zpožděná involuce dělohy: </w:t>
      </w:r>
      <w:r w:rsidRPr="003B5554">
        <w:t xml:space="preserve">aplikuje se jedna dávka </w:t>
      </w:r>
      <w:r w:rsidR="003F6322">
        <w:t xml:space="preserve">veterinárního léčivého </w:t>
      </w:r>
      <w:r w:rsidRPr="003B5554">
        <w:t>přípravku, a pokud se uzná za nezbytné, provede se jedno nebo dvě po sobě jdoucí ošetření ve 24 hodinových intervalech.</w:t>
      </w:r>
    </w:p>
    <w:p w14:paraId="4639B511" w14:textId="77777777" w:rsidR="003B5554" w:rsidRPr="003B5554" w:rsidRDefault="003B5554" w:rsidP="003B5554">
      <w:pPr>
        <w:tabs>
          <w:tab w:val="clear" w:pos="567"/>
        </w:tabs>
        <w:spacing w:line="240" w:lineRule="auto"/>
        <w:ind w:left="142" w:hanging="142"/>
        <w:contextualSpacing/>
        <w:jc w:val="both"/>
      </w:pPr>
    </w:p>
    <w:p w14:paraId="2EE43780" w14:textId="31E46B2C" w:rsidR="003B5554" w:rsidRPr="003B5554" w:rsidRDefault="003B5554" w:rsidP="003B5554">
      <w:pPr>
        <w:tabs>
          <w:tab w:val="clear" w:pos="567"/>
        </w:tabs>
        <w:spacing w:line="240" w:lineRule="auto"/>
        <w:ind w:left="709" w:hanging="709"/>
        <w:contextualSpacing/>
        <w:jc w:val="both"/>
      </w:pPr>
      <w:r w:rsidRPr="003B5554">
        <w:rPr>
          <w:b/>
        </w:rPr>
        <w:lastRenderedPageBreak/>
        <w:t xml:space="preserve">- Vyvolání potratu: </w:t>
      </w:r>
      <w:r w:rsidRPr="003B5554">
        <w:t xml:space="preserve">podá se jedna dávka </w:t>
      </w:r>
      <w:r w:rsidR="003F6322">
        <w:t xml:space="preserve">veterinárního léčivého </w:t>
      </w:r>
      <w:r w:rsidRPr="003B5554">
        <w:t>přípravku v první polovině březosti.</w:t>
      </w:r>
    </w:p>
    <w:p w14:paraId="0431F9AD" w14:textId="77777777" w:rsidR="003B5554" w:rsidRPr="003B5554" w:rsidRDefault="003B5554" w:rsidP="003B5554">
      <w:pPr>
        <w:tabs>
          <w:tab w:val="clear" w:pos="567"/>
        </w:tabs>
        <w:spacing w:line="240" w:lineRule="auto"/>
        <w:ind w:left="709" w:hanging="567"/>
        <w:contextualSpacing/>
        <w:jc w:val="both"/>
        <w:rPr>
          <w:b/>
        </w:rPr>
      </w:pPr>
    </w:p>
    <w:p w14:paraId="0C4422F7" w14:textId="1AB60743" w:rsidR="003B5554" w:rsidRPr="003B5554" w:rsidRDefault="003B5554" w:rsidP="003B5554">
      <w:pPr>
        <w:tabs>
          <w:tab w:val="clear" w:pos="567"/>
        </w:tabs>
        <w:spacing w:line="240" w:lineRule="auto"/>
        <w:ind w:left="142" w:hanging="142"/>
        <w:contextualSpacing/>
        <w:jc w:val="both"/>
      </w:pPr>
      <w:r w:rsidRPr="003B5554">
        <w:rPr>
          <w:b/>
        </w:rPr>
        <w:t xml:space="preserve">- Mumifikovaný plod: </w:t>
      </w:r>
      <w:r w:rsidRPr="003B5554">
        <w:t xml:space="preserve">vypuzení plodu je pozorováno během 3-4 dnů po podání jedné dávky </w:t>
      </w:r>
      <w:r w:rsidR="003F6322">
        <w:t xml:space="preserve">veterinárního léčivého </w:t>
      </w:r>
      <w:r w:rsidRPr="003B5554">
        <w:t>přípravku.</w:t>
      </w:r>
    </w:p>
    <w:p w14:paraId="2CFE0B4A" w14:textId="77777777" w:rsidR="003B5554" w:rsidRPr="003B5554" w:rsidRDefault="003B5554" w:rsidP="003B5554">
      <w:pPr>
        <w:tabs>
          <w:tab w:val="clear" w:pos="567"/>
        </w:tabs>
        <w:spacing w:line="240" w:lineRule="auto"/>
        <w:ind w:left="709" w:hanging="567"/>
        <w:contextualSpacing/>
        <w:jc w:val="both"/>
        <w:rPr>
          <w:b/>
        </w:rPr>
      </w:pPr>
    </w:p>
    <w:p w14:paraId="2903DA25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contextualSpacing/>
        <w:jc w:val="both"/>
        <w:rPr>
          <w:b/>
        </w:rPr>
      </w:pPr>
      <w:r w:rsidRPr="003B5554">
        <w:rPr>
          <w:b/>
        </w:rPr>
        <w:t>KLISNY:</w:t>
      </w:r>
    </w:p>
    <w:p w14:paraId="13D48321" w14:textId="669873FE" w:rsidR="003B5554" w:rsidRPr="003B5554" w:rsidRDefault="003B5554" w:rsidP="003B5554">
      <w:pPr>
        <w:tabs>
          <w:tab w:val="clear" w:pos="567"/>
        </w:tabs>
        <w:spacing w:line="240" w:lineRule="auto"/>
        <w:contextualSpacing/>
        <w:jc w:val="both"/>
      </w:pPr>
      <w:r w:rsidRPr="003B5554">
        <w:t xml:space="preserve">K indukci luteolýzy u klisen s funkčním </w:t>
      </w:r>
      <w:r w:rsidRPr="003B5554">
        <w:rPr>
          <w:i/>
        </w:rPr>
        <w:t>corpus luteum</w:t>
      </w:r>
      <w:r w:rsidRPr="003B5554">
        <w:t xml:space="preserve">: podá se jednorázově 1 ml </w:t>
      </w:r>
      <w:r w:rsidR="001F710B">
        <w:t xml:space="preserve">veterinárního léčivého </w:t>
      </w:r>
      <w:r w:rsidRPr="003B5554">
        <w:t xml:space="preserve">přípravku </w:t>
      </w:r>
      <w:r w:rsidRPr="005F79D9">
        <w:rPr>
          <w:i/>
        </w:rPr>
        <w:t>pro toto</w:t>
      </w:r>
      <w:r w:rsidRPr="003B5554">
        <w:t xml:space="preserve"> (což odpovídá 75 µg d-kloprostenolu).</w:t>
      </w:r>
    </w:p>
    <w:p w14:paraId="5AB7399E" w14:textId="77777777" w:rsidR="003B5554" w:rsidRPr="003B5554" w:rsidRDefault="003B5554" w:rsidP="003B5554">
      <w:pPr>
        <w:tabs>
          <w:tab w:val="clear" w:pos="567"/>
        </w:tabs>
        <w:spacing w:line="240" w:lineRule="auto"/>
        <w:ind w:left="1069" w:hanging="567"/>
        <w:contextualSpacing/>
        <w:jc w:val="both"/>
      </w:pPr>
    </w:p>
    <w:p w14:paraId="422A37D1" w14:textId="77777777" w:rsidR="003B5554" w:rsidRPr="003B5554" w:rsidRDefault="003B5554" w:rsidP="003B5554">
      <w:pPr>
        <w:tabs>
          <w:tab w:val="clear" w:pos="567"/>
        </w:tabs>
        <w:spacing w:line="240" w:lineRule="auto"/>
        <w:ind w:left="709" w:hanging="709"/>
        <w:contextualSpacing/>
        <w:jc w:val="both"/>
      </w:pPr>
      <w:r w:rsidRPr="003B5554">
        <w:rPr>
          <w:b/>
        </w:rPr>
        <w:t>PRASNICE:</w:t>
      </w:r>
      <w:r w:rsidRPr="003B5554">
        <w:t xml:space="preserve"> </w:t>
      </w:r>
    </w:p>
    <w:p w14:paraId="68AC2976" w14:textId="77777777" w:rsidR="003B5554" w:rsidRPr="003B5554" w:rsidRDefault="003B5554" w:rsidP="003B5554">
      <w:pPr>
        <w:tabs>
          <w:tab w:val="clear" w:pos="567"/>
        </w:tabs>
        <w:spacing w:line="240" w:lineRule="auto"/>
        <w:jc w:val="both"/>
      </w:pPr>
      <w:r w:rsidRPr="003B5554">
        <w:t xml:space="preserve">K vyvolání porodu u prasnic: podá se 1 ml veterinárního léčivého přípravku, což odpovídá 75 mikrogramům d-kloprostenolu </w:t>
      </w:r>
      <w:r w:rsidRPr="005F79D9">
        <w:rPr>
          <w:i/>
        </w:rPr>
        <w:t>pro toto</w:t>
      </w:r>
      <w:r w:rsidRPr="003B5554">
        <w:t>, intramuskulárně, ne dříve než 114. den březosti. Injekční podání může být opakováno po 6 hodinách.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BC6DFD1" w14:textId="463D315B" w:rsidR="001F710B" w:rsidRPr="003B5554" w:rsidRDefault="001F710B" w:rsidP="001F710B">
      <w:pPr>
        <w:tabs>
          <w:tab w:val="clear" w:pos="567"/>
          <w:tab w:val="left" w:pos="851"/>
        </w:tabs>
        <w:spacing w:line="240" w:lineRule="auto"/>
        <w:jc w:val="both"/>
      </w:pPr>
      <w:r>
        <w:t>Z</w:t>
      </w:r>
      <w:r w:rsidRPr="003B5554">
        <w:t>átk</w:t>
      </w:r>
      <w:r w:rsidR="006562AC">
        <w:t>u</w:t>
      </w:r>
      <w:r w:rsidRPr="003B5554">
        <w:t xml:space="preserve"> na lahvičce </w:t>
      </w:r>
      <w:r w:rsidR="006562AC">
        <w:t>lze</w:t>
      </w:r>
      <w:r w:rsidRPr="003B5554">
        <w:t xml:space="preserve"> bezpečně propíchn</w:t>
      </w:r>
      <w:r w:rsidR="006562AC">
        <w:t>o</w:t>
      </w:r>
      <w:r w:rsidRPr="003B5554">
        <w:t xml:space="preserve">ut </w:t>
      </w:r>
      <w:r w:rsidR="006562AC">
        <w:t>max.</w:t>
      </w:r>
      <w:r w:rsidRPr="003B5554">
        <w:t xml:space="preserve"> 20krát. Jinak by měl být pro injekční lahvičky o objemu 100 ml použ</w:t>
      </w:r>
      <w:r w:rsidR="006562AC">
        <w:t>it</w:t>
      </w:r>
      <w:r w:rsidRPr="003B5554">
        <w:t xml:space="preserve"> injekční </w:t>
      </w:r>
      <w:r w:rsidR="006562AC">
        <w:t>automat</w:t>
      </w:r>
      <w:r w:rsidRPr="003B5554">
        <w:t xml:space="preserve"> nebo vhodn</w:t>
      </w:r>
      <w:r w:rsidR="006562AC">
        <w:t>á</w:t>
      </w:r>
      <w:r w:rsidRPr="003B5554">
        <w:t xml:space="preserve"> </w:t>
      </w:r>
      <w:r w:rsidR="006562AC">
        <w:t>odběrná</w:t>
      </w:r>
      <w:r w:rsidRPr="003B5554">
        <w:t xml:space="preserve"> jehl</w:t>
      </w:r>
      <w:r w:rsidR="006562AC">
        <w:t>a</w:t>
      </w:r>
      <w:r w:rsidRPr="003B5554">
        <w:t xml:space="preserve">, aby se zabránilo nadměrnému propíchnutí </w:t>
      </w:r>
      <w:r w:rsidR="006562AC">
        <w:t>zátky</w:t>
      </w:r>
      <w:r w:rsidRPr="003B5554">
        <w:t>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616A2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5FD972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rPr>
          <w:u w:val="single"/>
        </w:rPr>
      </w:pPr>
      <w:r w:rsidRPr="003B5554">
        <w:rPr>
          <w:u w:val="single"/>
        </w:rPr>
        <w:t>Skot</w:t>
      </w:r>
    </w:p>
    <w:p w14:paraId="4025E97E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Maso: Bez ochranných lhůt.</w:t>
      </w:r>
    </w:p>
    <w:p w14:paraId="097B6304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Mléko: Bez ochranných lhůt.</w:t>
      </w:r>
    </w:p>
    <w:p w14:paraId="5D923491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</w:p>
    <w:p w14:paraId="4CF78DA5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rPr>
          <w:u w:val="single"/>
          <w:lang w:val="it-IT"/>
        </w:rPr>
      </w:pPr>
      <w:r w:rsidRPr="003B5554">
        <w:rPr>
          <w:u w:val="single"/>
          <w:lang w:val="it-IT"/>
        </w:rPr>
        <w:t>Prasata</w:t>
      </w:r>
    </w:p>
    <w:p w14:paraId="5001CD28" w14:textId="30F4790D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rPr>
          <w:lang w:val="it-IT"/>
        </w:rPr>
      </w:pPr>
      <w:r w:rsidRPr="003B5554">
        <w:rPr>
          <w:lang w:val="it-IT"/>
        </w:rPr>
        <w:t>Maso: 1 den</w:t>
      </w:r>
      <w:r w:rsidR="001F710B">
        <w:rPr>
          <w:lang w:val="it-IT"/>
        </w:rPr>
        <w:t>.</w:t>
      </w:r>
    </w:p>
    <w:p w14:paraId="702845AE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rPr>
          <w:lang w:val="it-IT"/>
        </w:rPr>
      </w:pPr>
    </w:p>
    <w:p w14:paraId="54060F5C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rPr>
          <w:u w:val="single"/>
          <w:lang w:val="it-IT"/>
        </w:rPr>
      </w:pPr>
      <w:r w:rsidRPr="003B5554">
        <w:rPr>
          <w:u w:val="single"/>
          <w:lang w:val="it-IT"/>
        </w:rPr>
        <w:t>Koně</w:t>
      </w:r>
    </w:p>
    <w:p w14:paraId="07880CAD" w14:textId="1739E11A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rPr>
          <w:lang w:val="it-IT"/>
        </w:rPr>
      </w:pPr>
      <w:r w:rsidRPr="003B5554">
        <w:rPr>
          <w:lang w:val="it-IT"/>
        </w:rPr>
        <w:t>Maso: 2 dny</w:t>
      </w:r>
      <w:r w:rsidR="001F710B">
        <w:rPr>
          <w:lang w:val="it-IT"/>
        </w:rPr>
        <w:t>.</w:t>
      </w:r>
    </w:p>
    <w:p w14:paraId="095AEA92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  <w:rPr>
          <w:lang w:val="it-IT"/>
        </w:rPr>
      </w:pPr>
      <w:r w:rsidRPr="003B5554">
        <w:rPr>
          <w:lang w:val="it-IT"/>
        </w:rPr>
        <w:t xml:space="preserve">Mléko: </w:t>
      </w:r>
      <w:r w:rsidRPr="003B5554">
        <w:t>Bez ochranných lhůt.</w:t>
      </w:r>
    </w:p>
    <w:p w14:paraId="3E95798B" w14:textId="77777777" w:rsidR="003B5554" w:rsidRPr="003B5554" w:rsidRDefault="003B5554" w:rsidP="00A9226B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</w:p>
    <w:p w14:paraId="3EA828F0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D21AC78" w14:textId="2ABE59DA" w:rsidR="003B5554" w:rsidRPr="003B5554" w:rsidRDefault="003B5554" w:rsidP="003B5554">
      <w:pPr>
        <w:tabs>
          <w:tab w:val="clear" w:pos="567"/>
        </w:tabs>
        <w:spacing w:line="240" w:lineRule="auto"/>
        <w:ind w:left="567" w:hanging="567"/>
      </w:pPr>
      <w:r w:rsidRPr="003B5554">
        <w:t>Uchováv</w:t>
      </w:r>
      <w:r w:rsidR="00492A1C">
        <w:t>ejte</w:t>
      </w:r>
      <w:r w:rsidRPr="003B5554">
        <w:t xml:space="preserve"> mimo dohled a dosah dětí.</w:t>
      </w:r>
    </w:p>
    <w:p w14:paraId="3BA3332F" w14:textId="77777777" w:rsidR="00900C9F" w:rsidRDefault="00900C9F" w:rsidP="003B5554">
      <w:pPr>
        <w:tabs>
          <w:tab w:val="clear" w:pos="567"/>
        </w:tabs>
        <w:spacing w:line="240" w:lineRule="auto"/>
        <w:ind w:left="567" w:right="-318" w:hanging="567"/>
      </w:pPr>
    </w:p>
    <w:p w14:paraId="0FE26810" w14:textId="7734A51D" w:rsidR="003B5554" w:rsidRPr="003B5554" w:rsidRDefault="003B5554" w:rsidP="003B5554">
      <w:pPr>
        <w:tabs>
          <w:tab w:val="clear" w:pos="567"/>
        </w:tabs>
        <w:spacing w:line="240" w:lineRule="auto"/>
        <w:ind w:left="567" w:right="-318" w:hanging="567"/>
      </w:pPr>
      <w:r w:rsidRPr="003B5554">
        <w:t>Uchovávejte při teplotě do 25</w:t>
      </w:r>
      <w:r w:rsidR="00014B72">
        <w:t xml:space="preserve"> </w:t>
      </w:r>
      <w:r w:rsidRPr="003B5554">
        <w:sym w:font="Symbol" w:char="F0B0"/>
      </w:r>
      <w:r w:rsidRPr="003B5554">
        <w:t xml:space="preserve">C. </w:t>
      </w:r>
    </w:p>
    <w:p w14:paraId="7BBEFA03" w14:textId="77777777" w:rsidR="003B5554" w:rsidRPr="003B5554" w:rsidRDefault="003B5554" w:rsidP="003B5554">
      <w:pPr>
        <w:tabs>
          <w:tab w:val="clear" w:pos="567"/>
        </w:tabs>
        <w:spacing w:line="240" w:lineRule="auto"/>
        <w:ind w:left="567" w:right="-318" w:hanging="567"/>
      </w:pPr>
      <w:r w:rsidRPr="003B5554">
        <w:t xml:space="preserve">Uchovávejte lahvičku v krabičce, aby byla chráněna před světlem. </w:t>
      </w:r>
    </w:p>
    <w:p w14:paraId="5F00E1FA" w14:textId="763A1D3B" w:rsidR="00900C9F" w:rsidRPr="00B41D57" w:rsidRDefault="00900C9F" w:rsidP="00900C9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krabičce po E</w:t>
      </w:r>
      <w:r>
        <w:t>xp</w:t>
      </w:r>
      <w:r w:rsidRPr="00B41D57">
        <w:t>.</w:t>
      </w:r>
      <w:r>
        <w:t xml:space="preserve"> </w:t>
      </w:r>
      <w:r w:rsidRPr="00B41D57">
        <w:t>Doba použitelnosti končí posledním dnem v uvedeném měsíci.</w:t>
      </w:r>
    </w:p>
    <w:p w14:paraId="4946D4F5" w14:textId="77777777" w:rsidR="003B5554" w:rsidRPr="003B5554" w:rsidRDefault="003B5554" w:rsidP="003B5554">
      <w:pPr>
        <w:tabs>
          <w:tab w:val="clear" w:pos="567"/>
        </w:tabs>
        <w:spacing w:line="240" w:lineRule="auto"/>
        <w:ind w:right="-2"/>
      </w:pPr>
      <w:r w:rsidRPr="003B5554">
        <w:t xml:space="preserve">Doba použitelnosti po prvním otevření vnitřního obalu: 28 dní. </w:t>
      </w:r>
    </w:p>
    <w:p w14:paraId="06335F5D" w14:textId="77777777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616A2D" w:rsidP="00E50D3C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E50D3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8CD4B99" w14:textId="3A67F086" w:rsidR="009655BF" w:rsidRDefault="009655BF" w:rsidP="009655BF">
      <w:pPr>
        <w:tabs>
          <w:tab w:val="clear" w:pos="567"/>
        </w:tabs>
        <w:spacing w:line="240" w:lineRule="auto"/>
        <w:ind w:right="-318"/>
      </w:pPr>
      <w:r w:rsidRPr="009655BF">
        <w:t>Léčivé přípravky se nesmí likvidovat prostřednictvím odpadní vody či domovního odpadu.</w:t>
      </w:r>
    </w:p>
    <w:p w14:paraId="04A5B7D5" w14:textId="77777777" w:rsidR="00E50D3C" w:rsidRDefault="00E50D3C" w:rsidP="00E50D3C">
      <w:pPr>
        <w:tabs>
          <w:tab w:val="clear" w:pos="567"/>
        </w:tabs>
        <w:spacing w:line="240" w:lineRule="auto"/>
      </w:pPr>
    </w:p>
    <w:p w14:paraId="7F033F55" w14:textId="65C65487" w:rsidR="00E50D3C" w:rsidRPr="00B41D57" w:rsidRDefault="00E50D3C" w:rsidP="00E50D3C">
      <w:pPr>
        <w:tabs>
          <w:tab w:val="clear" w:pos="567"/>
        </w:tabs>
        <w:spacing w:line="240" w:lineRule="auto"/>
        <w:rPr>
          <w:i/>
          <w:szCs w:val="22"/>
        </w:rPr>
      </w:pPr>
      <w:r w:rsidRPr="00B41D57">
        <w:t xml:space="preserve">Tento veterinární léčivý přípravek nesmí kontaminovat vodní toky, protože </w:t>
      </w:r>
      <w:r w:rsidRPr="006C2D8F">
        <w:t xml:space="preserve">d-kloprostenol </w:t>
      </w:r>
      <w:r w:rsidRPr="00B41D57">
        <w:t>může být nebezpečný pro ryby a další vodní organismy.</w:t>
      </w:r>
    </w:p>
    <w:p w14:paraId="286EA824" w14:textId="77777777" w:rsidR="00900C9F" w:rsidRDefault="00900C9F" w:rsidP="009655BF">
      <w:pPr>
        <w:tabs>
          <w:tab w:val="clear" w:pos="567"/>
        </w:tabs>
        <w:spacing w:line="240" w:lineRule="auto"/>
        <w:ind w:right="-318"/>
        <w:jc w:val="both"/>
      </w:pPr>
    </w:p>
    <w:p w14:paraId="3FA7CEB8" w14:textId="7DF4C795" w:rsidR="00DB468A" w:rsidRPr="00B41D57" w:rsidRDefault="00616A2D" w:rsidP="00900C9F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23B2402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4AF0FE04" w:rsidR="00C114FF" w:rsidRPr="00B41D57" w:rsidRDefault="00616A2D" w:rsidP="00900C9F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</w:t>
      </w:r>
      <w:r w:rsidR="00900C9F">
        <w:t xml:space="preserve"> </w:t>
      </w:r>
      <w:r w:rsidRPr="00B41D57">
        <w:t>lékárníkem</w:t>
      </w:r>
      <w:r w:rsidR="003C3E0E" w:rsidRPr="00B41D57">
        <w:t>.</w:t>
      </w: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616A2D" w:rsidP="00B13B6D">
      <w:pPr>
        <w:pStyle w:val="Style1"/>
      </w:pPr>
      <w:r w:rsidRPr="00B41D57">
        <w:rPr>
          <w:highlight w:val="lightGray"/>
        </w:rPr>
        <w:lastRenderedPageBreak/>
        <w:t>13.</w:t>
      </w:r>
      <w:r w:rsidRPr="00B41D57">
        <w:tab/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BDF2C8" w14:textId="77777777" w:rsidR="009655BF" w:rsidRPr="009655BF" w:rsidRDefault="009655BF" w:rsidP="009655BF">
      <w:pPr>
        <w:tabs>
          <w:tab w:val="clear" w:pos="567"/>
        </w:tabs>
        <w:spacing w:line="240" w:lineRule="auto"/>
        <w:ind w:left="567" w:hanging="567"/>
      </w:pPr>
      <w:r w:rsidRPr="009655BF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616A2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224CF1" w14:textId="0EF0B419" w:rsidR="00616A2D" w:rsidRPr="00616A2D" w:rsidRDefault="00616A2D" w:rsidP="00616A2D">
      <w:pPr>
        <w:ind w:right="-318"/>
        <w:rPr>
          <w:caps/>
        </w:rPr>
      </w:pPr>
      <w:r>
        <w:t xml:space="preserve">Registrační číslo: </w:t>
      </w:r>
      <w:r>
        <w:rPr>
          <w:caps/>
        </w:rPr>
        <w:t>96/076/19-C</w:t>
      </w:r>
    </w:p>
    <w:p w14:paraId="70263D2B" w14:textId="77777777" w:rsidR="00616A2D" w:rsidRDefault="00616A2D" w:rsidP="009655BF">
      <w:pPr>
        <w:tabs>
          <w:tab w:val="clear" w:pos="567"/>
        </w:tabs>
        <w:spacing w:line="240" w:lineRule="auto"/>
        <w:ind w:left="567" w:hanging="567"/>
      </w:pPr>
    </w:p>
    <w:p w14:paraId="3965BD71" w14:textId="64C83857" w:rsidR="009655BF" w:rsidRPr="005F79D9" w:rsidRDefault="009655BF" w:rsidP="009655BF">
      <w:pPr>
        <w:tabs>
          <w:tab w:val="clear" w:pos="567"/>
        </w:tabs>
        <w:spacing w:line="240" w:lineRule="auto"/>
        <w:ind w:left="567" w:hanging="567"/>
        <w:rPr>
          <w:u w:val="single"/>
        </w:rPr>
      </w:pPr>
      <w:r w:rsidRPr="005F79D9">
        <w:rPr>
          <w:u w:val="single"/>
        </w:rPr>
        <w:t>Velikost</w:t>
      </w:r>
      <w:r w:rsidR="002D6343" w:rsidRPr="005F79D9">
        <w:rPr>
          <w:u w:val="single"/>
        </w:rPr>
        <w:t>i</w:t>
      </w:r>
      <w:r w:rsidRPr="005F79D9">
        <w:rPr>
          <w:u w:val="single"/>
        </w:rPr>
        <w:t xml:space="preserve"> balení:</w:t>
      </w:r>
    </w:p>
    <w:p w14:paraId="0F216023" w14:textId="23DD1E85" w:rsidR="009655BF" w:rsidRPr="009655BF" w:rsidRDefault="00EB0F9B" w:rsidP="009655BF">
      <w:pPr>
        <w:tabs>
          <w:tab w:val="clear" w:pos="567"/>
        </w:tabs>
        <w:spacing w:line="240" w:lineRule="auto"/>
        <w:ind w:left="567" w:hanging="567"/>
        <w:rPr>
          <w:bCs/>
          <w:iCs/>
        </w:rPr>
      </w:pPr>
      <w:r>
        <w:rPr>
          <w:bCs/>
          <w:iCs/>
        </w:rPr>
        <w:t>Papírová</w:t>
      </w:r>
      <w:r w:rsidR="005D4117">
        <w:rPr>
          <w:bCs/>
          <w:iCs/>
        </w:rPr>
        <w:t xml:space="preserve"> </w:t>
      </w:r>
      <w:r w:rsidR="009655BF" w:rsidRPr="009655BF">
        <w:rPr>
          <w:bCs/>
          <w:iCs/>
        </w:rPr>
        <w:t xml:space="preserve">krabička s 15 lahvičkami o velikosti 2 ml </w:t>
      </w:r>
    </w:p>
    <w:p w14:paraId="0E71C827" w14:textId="74E89115" w:rsidR="009655BF" w:rsidRPr="009655BF" w:rsidRDefault="00EB0F9B" w:rsidP="009655BF">
      <w:pPr>
        <w:tabs>
          <w:tab w:val="clear" w:pos="567"/>
        </w:tabs>
        <w:spacing w:line="240" w:lineRule="auto"/>
        <w:ind w:left="567" w:hanging="567"/>
        <w:rPr>
          <w:iCs/>
          <w:lang w:val="fi-FI"/>
        </w:rPr>
      </w:pPr>
      <w:r>
        <w:rPr>
          <w:bCs/>
          <w:iCs/>
        </w:rPr>
        <w:t>Papírová</w:t>
      </w:r>
      <w:r w:rsidR="005D4117">
        <w:rPr>
          <w:bCs/>
          <w:iCs/>
        </w:rPr>
        <w:t xml:space="preserve"> </w:t>
      </w:r>
      <w:r w:rsidR="009655BF" w:rsidRPr="009655BF">
        <w:rPr>
          <w:bCs/>
          <w:iCs/>
          <w:lang w:val="fi-FI"/>
        </w:rPr>
        <w:t xml:space="preserve">krabička s 60 lahvičkami o velikosti 2 ml </w:t>
      </w:r>
    </w:p>
    <w:p w14:paraId="3E1844CD" w14:textId="1912B862" w:rsidR="009655BF" w:rsidRPr="009655BF" w:rsidRDefault="00EB0F9B" w:rsidP="009655BF">
      <w:pPr>
        <w:tabs>
          <w:tab w:val="clear" w:pos="567"/>
        </w:tabs>
        <w:spacing w:line="240" w:lineRule="auto"/>
        <w:ind w:left="567" w:hanging="567"/>
        <w:rPr>
          <w:bCs/>
          <w:iCs/>
          <w:lang w:val="fi-FI"/>
        </w:rPr>
      </w:pPr>
      <w:r>
        <w:rPr>
          <w:bCs/>
          <w:iCs/>
        </w:rPr>
        <w:t>Papírová</w:t>
      </w:r>
      <w:r w:rsidR="005D4117">
        <w:rPr>
          <w:bCs/>
          <w:iCs/>
          <w:lang w:val="fi-FI"/>
        </w:rPr>
        <w:t xml:space="preserve"> </w:t>
      </w:r>
      <w:r w:rsidR="009655BF" w:rsidRPr="009655BF">
        <w:rPr>
          <w:bCs/>
          <w:iCs/>
          <w:lang w:val="fi-FI"/>
        </w:rPr>
        <w:t xml:space="preserve">krabička s 1 lahvičkou o velikosti 10 ml </w:t>
      </w:r>
    </w:p>
    <w:p w14:paraId="441454FF" w14:textId="7E3854D9" w:rsidR="009655BF" w:rsidRPr="009655BF" w:rsidRDefault="00EB0F9B" w:rsidP="009655BF">
      <w:pPr>
        <w:tabs>
          <w:tab w:val="clear" w:pos="567"/>
        </w:tabs>
        <w:spacing w:line="240" w:lineRule="auto"/>
        <w:ind w:left="567" w:hanging="567"/>
        <w:rPr>
          <w:bCs/>
          <w:iCs/>
          <w:lang w:val="fi-FI"/>
        </w:rPr>
      </w:pPr>
      <w:r>
        <w:rPr>
          <w:bCs/>
          <w:iCs/>
        </w:rPr>
        <w:t>Papírová</w:t>
      </w:r>
      <w:r w:rsidR="005D4117">
        <w:rPr>
          <w:bCs/>
          <w:iCs/>
          <w:lang w:val="fi-FI"/>
        </w:rPr>
        <w:t xml:space="preserve"> </w:t>
      </w:r>
      <w:r w:rsidR="009655BF" w:rsidRPr="009655BF">
        <w:rPr>
          <w:bCs/>
          <w:iCs/>
          <w:lang w:val="fi-FI"/>
        </w:rPr>
        <w:t xml:space="preserve">krabička s 1 lahvičkou o velikosti 20 ml </w:t>
      </w:r>
    </w:p>
    <w:p w14:paraId="5B0DA363" w14:textId="521C1373" w:rsidR="009655BF" w:rsidRPr="009655BF" w:rsidRDefault="00EB0F9B" w:rsidP="009655BF">
      <w:pPr>
        <w:tabs>
          <w:tab w:val="clear" w:pos="567"/>
        </w:tabs>
        <w:spacing w:line="240" w:lineRule="auto"/>
        <w:ind w:left="567" w:hanging="567"/>
        <w:rPr>
          <w:iCs/>
          <w:lang w:val="fi-FI"/>
        </w:rPr>
      </w:pPr>
      <w:r>
        <w:rPr>
          <w:bCs/>
          <w:iCs/>
        </w:rPr>
        <w:t>Papírová</w:t>
      </w:r>
      <w:r w:rsidR="005D4117">
        <w:rPr>
          <w:bCs/>
          <w:iCs/>
          <w:lang w:val="fi-FI"/>
        </w:rPr>
        <w:t xml:space="preserve"> </w:t>
      </w:r>
      <w:r w:rsidR="009655BF" w:rsidRPr="009655BF">
        <w:rPr>
          <w:bCs/>
          <w:iCs/>
          <w:lang w:val="fi-FI"/>
        </w:rPr>
        <w:t xml:space="preserve">krabička s 1 HDPE obalem o velikosti </w:t>
      </w:r>
      <w:r w:rsidR="009655BF" w:rsidRPr="009655BF">
        <w:rPr>
          <w:iCs/>
          <w:lang w:val="fi-FI"/>
        </w:rPr>
        <w:t xml:space="preserve">100 ml </w:t>
      </w:r>
    </w:p>
    <w:p w14:paraId="3541E442" w14:textId="77777777" w:rsidR="009655BF" w:rsidRPr="009655BF" w:rsidRDefault="009655BF" w:rsidP="009655BF">
      <w:pPr>
        <w:tabs>
          <w:tab w:val="clear" w:pos="567"/>
        </w:tabs>
        <w:spacing w:line="240" w:lineRule="auto"/>
        <w:ind w:left="567" w:hanging="567"/>
        <w:rPr>
          <w:lang w:val="fi-FI"/>
        </w:rPr>
      </w:pPr>
    </w:p>
    <w:p w14:paraId="3BDE82E8" w14:textId="77777777" w:rsidR="009655BF" w:rsidRPr="009655BF" w:rsidRDefault="009655BF" w:rsidP="009655BF">
      <w:pPr>
        <w:tabs>
          <w:tab w:val="clear" w:pos="567"/>
        </w:tabs>
        <w:spacing w:line="240" w:lineRule="auto"/>
        <w:ind w:left="567" w:hanging="567"/>
      </w:pPr>
      <w:r w:rsidRPr="009655BF">
        <w:t>Na trhu nemusí být všechny velikosti balení.</w:t>
      </w:r>
    </w:p>
    <w:p w14:paraId="3B18DE01" w14:textId="77777777" w:rsidR="009655BF" w:rsidRDefault="009655BF" w:rsidP="00DB468A">
      <w:pPr>
        <w:tabs>
          <w:tab w:val="clear" w:pos="567"/>
        </w:tabs>
        <w:spacing w:line="240" w:lineRule="auto"/>
      </w:pPr>
    </w:p>
    <w:p w14:paraId="0B76CC22" w14:textId="77777777" w:rsidR="00C114FF" w:rsidRPr="00B41D57" w:rsidRDefault="00616A2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1BEBA3" w14:textId="7A368B8D" w:rsidR="00F82643" w:rsidRPr="009655BF" w:rsidRDefault="005F79D9" w:rsidP="009655BF">
      <w:pPr>
        <w:tabs>
          <w:tab w:val="clear" w:pos="567"/>
        </w:tabs>
        <w:spacing w:line="240" w:lineRule="auto"/>
        <w:ind w:left="567" w:right="-318" w:hanging="567"/>
      </w:pPr>
      <w:r>
        <w:t>01/2026</w:t>
      </w:r>
      <w:bookmarkStart w:id="3" w:name="_GoBack"/>
      <w:bookmarkEnd w:id="3"/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5650531A" w:rsidR="001F1C7E" w:rsidRDefault="00616A2D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3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4D6D4715" w14:textId="77777777" w:rsidR="005D4117" w:rsidRDefault="005D4117" w:rsidP="001F1C7E">
      <w:pPr>
        <w:tabs>
          <w:tab w:val="clear" w:pos="567"/>
        </w:tabs>
        <w:spacing w:line="240" w:lineRule="auto"/>
        <w:rPr>
          <w:szCs w:val="22"/>
          <w:lang w:bidi="cs-CZ"/>
        </w:rPr>
      </w:pPr>
    </w:p>
    <w:p w14:paraId="6290FBB6" w14:textId="28688970" w:rsidR="00616A2D" w:rsidRPr="006414D3" w:rsidRDefault="00616A2D" w:rsidP="001F1C7E">
      <w:pPr>
        <w:tabs>
          <w:tab w:val="clear" w:pos="567"/>
        </w:tabs>
        <w:spacing w:line="240" w:lineRule="auto"/>
        <w:rPr>
          <w:szCs w:val="22"/>
        </w:rPr>
      </w:pPr>
      <w:r w:rsidRPr="00616A2D">
        <w:rPr>
          <w:szCs w:val="22"/>
          <w:lang w:bidi="cs-CZ"/>
        </w:rPr>
        <w:t>Podrobné informace o tomto veterinárním léčivém přípravku naleznete také v národní databázi (</w:t>
      </w:r>
      <w:hyperlink r:id="rId14" w:history="1">
        <w:r w:rsidRPr="00616A2D">
          <w:rPr>
            <w:rStyle w:val="Hypertextovodkaz"/>
            <w:szCs w:val="22"/>
            <w:lang w:bidi="cs-CZ"/>
          </w:rPr>
          <w:t>https://www.uskvbl.cz</w:t>
        </w:r>
      </w:hyperlink>
      <w:r w:rsidRPr="00616A2D">
        <w:rPr>
          <w:szCs w:val="22"/>
          <w:lang w:bidi="cs-CZ"/>
        </w:rPr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616A2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4DB49147" w:rsidR="00DB468A" w:rsidRPr="00B41D57" w:rsidRDefault="00616A2D" w:rsidP="00DB468A">
      <w:pPr>
        <w:rPr>
          <w:iCs/>
          <w:szCs w:val="22"/>
        </w:rPr>
      </w:pPr>
      <w:bookmarkStart w:id="4" w:name="_Hlk73552578"/>
      <w:r w:rsidRPr="00B41D57">
        <w:rPr>
          <w:iCs/>
          <w:szCs w:val="22"/>
          <w:u w:val="single"/>
        </w:rPr>
        <w:t>Držitel rozhodnutí o registraci a</w:t>
      </w:r>
      <w:r w:rsidR="002D6343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Pr="00B41D57">
        <w:t>:</w:t>
      </w:r>
    </w:p>
    <w:bookmarkEnd w:id="4"/>
    <w:p w14:paraId="18B6D837" w14:textId="77777777" w:rsidR="00487F48" w:rsidRDefault="00487F48" w:rsidP="00487F48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  <w:r w:rsidRPr="008F6D75">
        <w:rPr>
          <w:sz w:val="24"/>
          <w:lang w:eastAsia="cs-CZ"/>
        </w:rPr>
        <w:t>FATRO S.p.A.</w:t>
      </w:r>
    </w:p>
    <w:p w14:paraId="7E7AF1FE" w14:textId="77777777" w:rsidR="00487F48" w:rsidRDefault="00487F48" w:rsidP="00487F48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  <w:r w:rsidRPr="008F6D75">
        <w:rPr>
          <w:sz w:val="24"/>
          <w:lang w:eastAsia="cs-CZ"/>
        </w:rPr>
        <w:t>Via Emilia 285</w:t>
      </w:r>
    </w:p>
    <w:p w14:paraId="6DCA205E" w14:textId="422C4B76" w:rsidR="00487F48" w:rsidRDefault="00487F48" w:rsidP="00487F48">
      <w:pPr>
        <w:tabs>
          <w:tab w:val="clear" w:pos="567"/>
        </w:tabs>
        <w:spacing w:line="240" w:lineRule="auto"/>
        <w:jc w:val="both"/>
        <w:rPr>
          <w:sz w:val="24"/>
          <w:lang w:eastAsia="cs-CZ"/>
        </w:rPr>
      </w:pPr>
      <w:r>
        <w:rPr>
          <w:sz w:val="24"/>
          <w:lang w:eastAsia="cs-CZ"/>
        </w:rPr>
        <w:t xml:space="preserve">40064 </w:t>
      </w:r>
      <w:proofErr w:type="spellStart"/>
      <w:r w:rsidRPr="008F6D75">
        <w:rPr>
          <w:sz w:val="24"/>
          <w:lang w:eastAsia="cs-CZ"/>
        </w:rPr>
        <w:t>Ozzano</w:t>
      </w:r>
      <w:proofErr w:type="spellEnd"/>
      <w:r w:rsidRPr="008F6D75">
        <w:rPr>
          <w:sz w:val="24"/>
          <w:lang w:eastAsia="cs-CZ"/>
        </w:rPr>
        <w:t xml:space="preserve"> </w:t>
      </w:r>
      <w:proofErr w:type="spellStart"/>
      <w:r>
        <w:rPr>
          <w:sz w:val="24"/>
          <w:lang w:eastAsia="cs-CZ"/>
        </w:rPr>
        <w:t>dell</w:t>
      </w:r>
      <w:proofErr w:type="spellEnd"/>
      <w:r>
        <w:rPr>
          <w:sz w:val="24"/>
          <w:lang w:eastAsia="cs-CZ"/>
        </w:rPr>
        <w:t xml:space="preserve"> </w:t>
      </w:r>
      <w:r w:rsidRPr="008F6D75">
        <w:rPr>
          <w:sz w:val="24"/>
          <w:lang w:eastAsia="cs-CZ"/>
        </w:rPr>
        <w:t>Emilia (Bologna), Itálie</w:t>
      </w:r>
    </w:p>
    <w:p w14:paraId="55A50D28" w14:textId="77777777" w:rsidR="00487F48" w:rsidRDefault="00487F48" w:rsidP="0018657D">
      <w:pPr>
        <w:pStyle w:val="Style4"/>
        <w:rPr>
          <w:u w:val="single"/>
        </w:rPr>
      </w:pPr>
      <w:bookmarkStart w:id="5" w:name="_Hlk73552585"/>
    </w:p>
    <w:p w14:paraId="3F99BC68" w14:textId="0A9372BA" w:rsidR="003841FC" w:rsidRPr="00B41D57" w:rsidRDefault="00616A2D" w:rsidP="0018657D">
      <w:pPr>
        <w:pStyle w:val="Style4"/>
      </w:pPr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5"/>
    <w:p w14:paraId="4707A2F8" w14:textId="77777777" w:rsidR="00487F48" w:rsidRPr="00B41D57" w:rsidRDefault="00487F48" w:rsidP="00487F4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BIOPHARM, Výzkumný ústav biofarmacie a veterinárních léčiv a.s.</w:t>
      </w:r>
    </w:p>
    <w:p w14:paraId="0B03E581" w14:textId="77777777" w:rsidR="00487F48" w:rsidRDefault="00487F48" w:rsidP="00487F48">
      <w:pPr>
        <w:tabs>
          <w:tab w:val="clear" w:pos="567"/>
        </w:tabs>
        <w:spacing w:line="240" w:lineRule="auto"/>
      </w:pPr>
      <w:proofErr w:type="spellStart"/>
      <w:r>
        <w:t>Chotouň</w:t>
      </w:r>
      <w:proofErr w:type="spellEnd"/>
      <w:r>
        <w:t xml:space="preserve"> 90, 254 01 Pohoří, ČR </w:t>
      </w:r>
    </w:p>
    <w:p w14:paraId="2F883E6F" w14:textId="77777777" w:rsidR="00487F48" w:rsidRDefault="00487F48" w:rsidP="00487F48">
      <w:pPr>
        <w:tabs>
          <w:tab w:val="clear" w:pos="567"/>
        </w:tabs>
        <w:spacing w:line="240" w:lineRule="auto"/>
        <w:jc w:val="both"/>
      </w:pPr>
      <w:r>
        <w:t>Tel: +420 737 048 500</w:t>
      </w:r>
    </w:p>
    <w:p w14:paraId="18D0077C" w14:textId="77777777" w:rsidR="00487F48" w:rsidRDefault="00487F48" w:rsidP="00487F48">
      <w:pPr>
        <w:tabs>
          <w:tab w:val="clear" w:pos="567"/>
        </w:tabs>
        <w:spacing w:line="240" w:lineRule="auto"/>
        <w:jc w:val="both"/>
      </w:pPr>
      <w:r>
        <w:t xml:space="preserve">E-mail: </w:t>
      </w:r>
      <w:hyperlink r:id="rId15" w:history="1">
        <w:r w:rsidRPr="009F3388">
          <w:rPr>
            <w:rStyle w:val="Hypertextovodkaz"/>
          </w:rPr>
          <w:t>pharmacovigilance@bri.cz</w:t>
        </w:r>
      </w:hyperlink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26FD5B" w14:textId="3E0A32DC" w:rsidR="000D67D0" w:rsidRPr="00B41D57" w:rsidRDefault="00616A2D" w:rsidP="00487F4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Pr="00B41D57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54F47318" w:rsidR="00BB2539" w:rsidRDefault="00616A2D" w:rsidP="00B13B6D">
      <w:pPr>
        <w:pStyle w:val="Style1"/>
      </w:pPr>
      <w:r w:rsidRPr="00616A2D">
        <w:rPr>
          <w:highlight w:val="lightGray"/>
        </w:rPr>
        <w:t>17.</w:t>
      </w:r>
      <w:r w:rsidRPr="00616A2D">
        <w:rPr>
          <w:highlight w:val="lightGray"/>
        </w:rPr>
        <w:tab/>
        <w:t>Další informace</w:t>
      </w:r>
    </w:p>
    <w:p w14:paraId="5D55582B" w14:textId="77777777" w:rsidR="009655BF" w:rsidRDefault="009655BF" w:rsidP="00B13B6D">
      <w:pPr>
        <w:pStyle w:val="Style1"/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headerReference w:type="default" r:id="rId16"/>
      <w:footerReference w:type="default" r:id="rId17"/>
      <w:footerReference w:type="first" r:id="rId18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3CD02" w14:textId="77777777" w:rsidR="008C3EEB" w:rsidRDefault="008C3EEB">
      <w:pPr>
        <w:spacing w:line="240" w:lineRule="auto"/>
      </w:pPr>
      <w:r>
        <w:separator/>
      </w:r>
    </w:p>
  </w:endnote>
  <w:endnote w:type="continuationSeparator" w:id="0">
    <w:p w14:paraId="40748D7B" w14:textId="77777777" w:rsidR="008C3EEB" w:rsidRDefault="008C3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523776B" w:rsidR="00165F25" w:rsidRPr="00E0068C" w:rsidRDefault="00616A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2925BF">
      <w:rPr>
        <w:rFonts w:ascii="Times New Roman" w:hAnsi="Times New Roman"/>
        <w:noProof/>
      </w:rPr>
      <w:t>6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616A2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4BBA1" w14:textId="77777777" w:rsidR="008C3EEB" w:rsidRDefault="008C3EEB">
      <w:pPr>
        <w:spacing w:line="240" w:lineRule="auto"/>
      </w:pPr>
      <w:r>
        <w:separator/>
      </w:r>
    </w:p>
  </w:footnote>
  <w:footnote w:type="continuationSeparator" w:id="0">
    <w:p w14:paraId="74999D1C" w14:textId="77777777" w:rsidR="008C3EEB" w:rsidRDefault="008C3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03454" w14:textId="77777777" w:rsidR="009B2BC6" w:rsidRDefault="009B2B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1763E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2679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4481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681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A8E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0A6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62E0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2280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68C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490A8E4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19A95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188E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8C65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5E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9C8F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1E10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C83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62A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4F42D9A"/>
    <w:multiLevelType w:val="hybridMultilevel"/>
    <w:tmpl w:val="62AAB218"/>
    <w:lvl w:ilvl="0" w:tplc="40845A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67FED0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B641C0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414EC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68F03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F4CD23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3A136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9A87F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4D48A1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EE631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AB86B6F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43C2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96CADD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752EB4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76E14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562CA6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D5A5AE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55A245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3500E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FDAA2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94F0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BC7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B2D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AA79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F0C1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0C85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AF1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2A1D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25A6AE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014C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1D0D9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FE15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68B5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128F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C22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6B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CA33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E9DC37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85C916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5AABD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9224F7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13E5C6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BF6F0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F40CE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EA1C5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7E89F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6FD49D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D8C70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44AB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25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BE3A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B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0A1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1E8D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9475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D5ED0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6CD05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64CED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A0E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2B0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AEB1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C4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A3F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F692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66EAB4D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4BEB3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07E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0ED5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8264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25AA2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023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9CDC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A8C8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0FB26AE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88C0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46B9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942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4299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441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065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E9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206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CE2531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176EA9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E456C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43EAD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32CBB3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E2577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7CC42C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80C1A4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B32D4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D9835F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406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EAD6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4D0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5E65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D637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5C78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9369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941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31BC6FD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6E8DF56" w:tentative="1">
      <w:start w:val="1"/>
      <w:numFmt w:val="lowerLetter"/>
      <w:lvlText w:val="%2."/>
      <w:lvlJc w:val="left"/>
      <w:pPr>
        <w:ind w:left="1440" w:hanging="360"/>
      </w:pPr>
    </w:lvl>
    <w:lvl w:ilvl="2" w:tplc="954E6C40" w:tentative="1">
      <w:start w:val="1"/>
      <w:numFmt w:val="lowerRoman"/>
      <w:lvlText w:val="%3."/>
      <w:lvlJc w:val="right"/>
      <w:pPr>
        <w:ind w:left="2160" w:hanging="180"/>
      </w:pPr>
    </w:lvl>
    <w:lvl w:ilvl="3" w:tplc="56D20948" w:tentative="1">
      <w:start w:val="1"/>
      <w:numFmt w:val="decimal"/>
      <w:lvlText w:val="%4."/>
      <w:lvlJc w:val="left"/>
      <w:pPr>
        <w:ind w:left="2880" w:hanging="360"/>
      </w:pPr>
    </w:lvl>
    <w:lvl w:ilvl="4" w:tplc="61847452" w:tentative="1">
      <w:start w:val="1"/>
      <w:numFmt w:val="lowerLetter"/>
      <w:lvlText w:val="%5."/>
      <w:lvlJc w:val="left"/>
      <w:pPr>
        <w:ind w:left="3600" w:hanging="360"/>
      </w:pPr>
    </w:lvl>
    <w:lvl w:ilvl="5" w:tplc="CC208A0C" w:tentative="1">
      <w:start w:val="1"/>
      <w:numFmt w:val="lowerRoman"/>
      <w:lvlText w:val="%6."/>
      <w:lvlJc w:val="right"/>
      <w:pPr>
        <w:ind w:left="4320" w:hanging="180"/>
      </w:pPr>
    </w:lvl>
    <w:lvl w:ilvl="6" w:tplc="7E9EDC1A" w:tentative="1">
      <w:start w:val="1"/>
      <w:numFmt w:val="decimal"/>
      <w:lvlText w:val="%7."/>
      <w:lvlJc w:val="left"/>
      <w:pPr>
        <w:ind w:left="5040" w:hanging="360"/>
      </w:pPr>
    </w:lvl>
    <w:lvl w:ilvl="7" w:tplc="5CF825EA" w:tentative="1">
      <w:start w:val="1"/>
      <w:numFmt w:val="lowerLetter"/>
      <w:lvlText w:val="%8."/>
      <w:lvlJc w:val="left"/>
      <w:pPr>
        <w:ind w:left="5760" w:hanging="360"/>
      </w:pPr>
    </w:lvl>
    <w:lvl w:ilvl="8" w:tplc="FFF85C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18EA1F3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4FA4E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58D9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C04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86A4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D2F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3EB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0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5EA7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89A3727"/>
    <w:multiLevelType w:val="hybridMultilevel"/>
    <w:tmpl w:val="5D7CC016"/>
    <w:lvl w:ilvl="0" w:tplc="0410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9C47CE"/>
    <w:multiLevelType w:val="hybridMultilevel"/>
    <w:tmpl w:val="C23AAEA2"/>
    <w:lvl w:ilvl="0" w:tplc="AD3ED47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6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7" w15:restartNumberingAfterBreak="0">
    <w:nsid w:val="71FB76EB"/>
    <w:multiLevelType w:val="hybridMultilevel"/>
    <w:tmpl w:val="CC66055E"/>
    <w:lvl w:ilvl="0" w:tplc="3D02C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A617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1C0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D66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2A0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E0B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68E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69A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5E52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2087B01"/>
    <w:multiLevelType w:val="hybridMultilevel"/>
    <w:tmpl w:val="D4C290BC"/>
    <w:lvl w:ilvl="0" w:tplc="71A0730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63A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7887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67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A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824E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8B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5F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4C3C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E1091A"/>
    <w:multiLevelType w:val="hybridMultilevel"/>
    <w:tmpl w:val="9D5C3D80"/>
    <w:lvl w:ilvl="0" w:tplc="53C64590">
      <w:start w:val="1"/>
      <w:numFmt w:val="decimal"/>
      <w:lvlText w:val="%1."/>
      <w:lvlJc w:val="left"/>
      <w:pPr>
        <w:ind w:left="720" w:hanging="360"/>
      </w:pPr>
    </w:lvl>
    <w:lvl w:ilvl="1" w:tplc="280A5118" w:tentative="1">
      <w:start w:val="1"/>
      <w:numFmt w:val="lowerLetter"/>
      <w:lvlText w:val="%2."/>
      <w:lvlJc w:val="left"/>
      <w:pPr>
        <w:ind w:left="1440" w:hanging="360"/>
      </w:pPr>
    </w:lvl>
    <w:lvl w:ilvl="2" w:tplc="9160831A" w:tentative="1">
      <w:start w:val="1"/>
      <w:numFmt w:val="lowerRoman"/>
      <w:lvlText w:val="%3."/>
      <w:lvlJc w:val="right"/>
      <w:pPr>
        <w:ind w:left="2160" w:hanging="180"/>
      </w:pPr>
    </w:lvl>
    <w:lvl w:ilvl="3" w:tplc="07F0D566" w:tentative="1">
      <w:start w:val="1"/>
      <w:numFmt w:val="decimal"/>
      <w:lvlText w:val="%4."/>
      <w:lvlJc w:val="left"/>
      <w:pPr>
        <w:ind w:left="2880" w:hanging="360"/>
      </w:pPr>
    </w:lvl>
    <w:lvl w:ilvl="4" w:tplc="6C7A08E0" w:tentative="1">
      <w:start w:val="1"/>
      <w:numFmt w:val="lowerLetter"/>
      <w:lvlText w:val="%5."/>
      <w:lvlJc w:val="left"/>
      <w:pPr>
        <w:ind w:left="3600" w:hanging="360"/>
      </w:pPr>
    </w:lvl>
    <w:lvl w:ilvl="5" w:tplc="FBE2CF20" w:tentative="1">
      <w:start w:val="1"/>
      <w:numFmt w:val="lowerRoman"/>
      <w:lvlText w:val="%6."/>
      <w:lvlJc w:val="right"/>
      <w:pPr>
        <w:ind w:left="4320" w:hanging="180"/>
      </w:pPr>
    </w:lvl>
    <w:lvl w:ilvl="6" w:tplc="B9848D34" w:tentative="1">
      <w:start w:val="1"/>
      <w:numFmt w:val="decimal"/>
      <w:lvlText w:val="%7."/>
      <w:lvlJc w:val="left"/>
      <w:pPr>
        <w:ind w:left="5040" w:hanging="360"/>
      </w:pPr>
    </w:lvl>
    <w:lvl w:ilvl="7" w:tplc="7AA0AA6A" w:tentative="1">
      <w:start w:val="1"/>
      <w:numFmt w:val="lowerLetter"/>
      <w:lvlText w:val="%8."/>
      <w:lvlJc w:val="left"/>
      <w:pPr>
        <w:ind w:left="5760" w:hanging="360"/>
      </w:pPr>
    </w:lvl>
    <w:lvl w:ilvl="8" w:tplc="3E4C7D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019AB"/>
    <w:multiLevelType w:val="hybridMultilevel"/>
    <w:tmpl w:val="E1262FC8"/>
    <w:lvl w:ilvl="0" w:tplc="73E0BA06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79EF22C9"/>
    <w:multiLevelType w:val="hybridMultilevel"/>
    <w:tmpl w:val="4F86418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A8A5987"/>
    <w:multiLevelType w:val="hybridMultilevel"/>
    <w:tmpl w:val="D73EEE10"/>
    <w:lvl w:ilvl="0" w:tplc="6E263F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4DC23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9282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B850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0082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E8F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84D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1AAF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3C2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6"/>
  </w:num>
  <w:num w:numId="4">
    <w:abstractNumId w:val="35"/>
  </w:num>
  <w:num w:numId="5">
    <w:abstractNumId w:val="14"/>
  </w:num>
  <w:num w:numId="6">
    <w:abstractNumId w:val="25"/>
  </w:num>
  <w:num w:numId="7">
    <w:abstractNumId w:val="20"/>
  </w:num>
  <w:num w:numId="8">
    <w:abstractNumId w:val="10"/>
  </w:num>
  <w:num w:numId="9">
    <w:abstractNumId w:val="31"/>
  </w:num>
  <w:num w:numId="10">
    <w:abstractNumId w:val="34"/>
  </w:num>
  <w:num w:numId="11">
    <w:abstractNumId w:val="16"/>
  </w:num>
  <w:num w:numId="12">
    <w:abstractNumId w:val="15"/>
  </w:num>
  <w:num w:numId="13">
    <w:abstractNumId w:val="3"/>
  </w:num>
  <w:num w:numId="14">
    <w:abstractNumId w:val="30"/>
  </w:num>
  <w:num w:numId="15">
    <w:abstractNumId w:val="19"/>
  </w:num>
  <w:num w:numId="16">
    <w:abstractNumId w:val="37"/>
  </w:num>
  <w:num w:numId="17">
    <w:abstractNumId w:val="11"/>
  </w:num>
  <w:num w:numId="18">
    <w:abstractNumId w:val="1"/>
  </w:num>
  <w:num w:numId="19">
    <w:abstractNumId w:val="17"/>
  </w:num>
  <w:num w:numId="20">
    <w:abstractNumId w:val="5"/>
  </w:num>
  <w:num w:numId="21">
    <w:abstractNumId w:val="9"/>
  </w:num>
  <w:num w:numId="22">
    <w:abstractNumId w:val="27"/>
  </w:num>
  <w:num w:numId="23">
    <w:abstractNumId w:val="38"/>
  </w:num>
  <w:num w:numId="24">
    <w:abstractNumId w:val="22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3"/>
  </w:num>
  <w:num w:numId="30">
    <w:abstractNumId w:val="42"/>
  </w:num>
  <w:num w:numId="31">
    <w:abstractNumId w:val="43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6"/>
  </w:num>
  <w:num w:numId="37">
    <w:abstractNumId w:val="26"/>
  </w:num>
  <w:num w:numId="38">
    <w:abstractNumId w:val="18"/>
  </w:num>
  <w:num w:numId="39">
    <w:abstractNumId w:val="39"/>
  </w:num>
  <w:num w:numId="40">
    <w:abstractNumId w:val="28"/>
  </w:num>
  <w:num w:numId="41">
    <w:abstractNumId w:val="41"/>
  </w:num>
  <w:num w:numId="42">
    <w:abstractNumId w:val="4"/>
  </w:num>
  <w:num w:numId="43">
    <w:abstractNumId w:val="33"/>
  </w:num>
  <w:num w:numId="44">
    <w:abstractNumId w:val="40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4B72"/>
    <w:rsid w:val="00021B82"/>
    <w:rsid w:val="00024777"/>
    <w:rsid w:val="00024E21"/>
    <w:rsid w:val="00027100"/>
    <w:rsid w:val="000274AC"/>
    <w:rsid w:val="00030AD8"/>
    <w:rsid w:val="000349AA"/>
    <w:rsid w:val="00036C50"/>
    <w:rsid w:val="00037E3D"/>
    <w:rsid w:val="00042603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B09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1F710B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44D3"/>
    <w:rsid w:val="00265656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25BF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6343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6E0"/>
    <w:rsid w:val="0033480E"/>
    <w:rsid w:val="00337123"/>
    <w:rsid w:val="0033781A"/>
    <w:rsid w:val="00341866"/>
    <w:rsid w:val="00342C0C"/>
    <w:rsid w:val="003520EF"/>
    <w:rsid w:val="003535E0"/>
    <w:rsid w:val="003543AC"/>
    <w:rsid w:val="00355AB8"/>
    <w:rsid w:val="00355D02"/>
    <w:rsid w:val="00361607"/>
    <w:rsid w:val="00365C0D"/>
    <w:rsid w:val="00365CA6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FFD"/>
    <w:rsid w:val="003A31B9"/>
    <w:rsid w:val="003A3E2F"/>
    <w:rsid w:val="003A6CCB"/>
    <w:rsid w:val="003B0F22"/>
    <w:rsid w:val="003B10C4"/>
    <w:rsid w:val="003B48EB"/>
    <w:rsid w:val="003B516B"/>
    <w:rsid w:val="003B5554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322"/>
    <w:rsid w:val="003F677F"/>
    <w:rsid w:val="004008F6"/>
    <w:rsid w:val="00406F33"/>
    <w:rsid w:val="00407C22"/>
    <w:rsid w:val="00412BBE"/>
    <w:rsid w:val="00413443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473ED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87F48"/>
    <w:rsid w:val="00492A1C"/>
    <w:rsid w:val="00495A75"/>
    <w:rsid w:val="00495CAE"/>
    <w:rsid w:val="0049641F"/>
    <w:rsid w:val="004A005B"/>
    <w:rsid w:val="004A1BD5"/>
    <w:rsid w:val="004A31BE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631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556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4117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79D9"/>
    <w:rsid w:val="00602D3B"/>
    <w:rsid w:val="0060326F"/>
    <w:rsid w:val="00606EA1"/>
    <w:rsid w:val="006128F0"/>
    <w:rsid w:val="00614B5B"/>
    <w:rsid w:val="00616A2D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62AC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2DDF"/>
    <w:rsid w:val="006B5916"/>
    <w:rsid w:val="006C098A"/>
    <w:rsid w:val="006C2D8F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300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2932"/>
    <w:rsid w:val="007A314D"/>
    <w:rsid w:val="007A38DF"/>
    <w:rsid w:val="007B00E5"/>
    <w:rsid w:val="007B20CF"/>
    <w:rsid w:val="007B2499"/>
    <w:rsid w:val="007B72E1"/>
    <w:rsid w:val="007B783A"/>
    <w:rsid w:val="007C1B95"/>
    <w:rsid w:val="007C2264"/>
    <w:rsid w:val="007C3DF3"/>
    <w:rsid w:val="007C796D"/>
    <w:rsid w:val="007D73FB"/>
    <w:rsid w:val="007D7608"/>
    <w:rsid w:val="007E2F2D"/>
    <w:rsid w:val="007E7DF3"/>
    <w:rsid w:val="007F1433"/>
    <w:rsid w:val="007F1491"/>
    <w:rsid w:val="007F16DD"/>
    <w:rsid w:val="007F2F03"/>
    <w:rsid w:val="007F42CE"/>
    <w:rsid w:val="00800FE0"/>
    <w:rsid w:val="00804D23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3EEB"/>
    <w:rsid w:val="008C4FCA"/>
    <w:rsid w:val="008C68C0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0C9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55BF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BC6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56FC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2B77"/>
    <w:rsid w:val="00B2603F"/>
    <w:rsid w:val="00B304E7"/>
    <w:rsid w:val="00B318B6"/>
    <w:rsid w:val="00B3499B"/>
    <w:rsid w:val="00B36E65"/>
    <w:rsid w:val="00B41D57"/>
    <w:rsid w:val="00B41F47"/>
    <w:rsid w:val="00B44468"/>
    <w:rsid w:val="00B47EEE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778"/>
    <w:rsid w:val="00B9784D"/>
    <w:rsid w:val="00BA0A39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2B0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3F75"/>
    <w:rsid w:val="00C341E6"/>
    <w:rsid w:val="00C34260"/>
    <w:rsid w:val="00C36883"/>
    <w:rsid w:val="00C40928"/>
    <w:rsid w:val="00C40CFF"/>
    <w:rsid w:val="00C40F57"/>
    <w:rsid w:val="00C42697"/>
    <w:rsid w:val="00C43F01"/>
    <w:rsid w:val="00C450B3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044A"/>
    <w:rsid w:val="00D9216A"/>
    <w:rsid w:val="00D95BBB"/>
    <w:rsid w:val="00D97E7D"/>
    <w:rsid w:val="00DA16B5"/>
    <w:rsid w:val="00DA2A06"/>
    <w:rsid w:val="00DA575E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22698"/>
    <w:rsid w:val="00E25B7C"/>
    <w:rsid w:val="00E3076B"/>
    <w:rsid w:val="00E32CEC"/>
    <w:rsid w:val="00E33224"/>
    <w:rsid w:val="00E3725B"/>
    <w:rsid w:val="00E434D1"/>
    <w:rsid w:val="00E50D3C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D62"/>
    <w:rsid w:val="00E84E9D"/>
    <w:rsid w:val="00E86CEE"/>
    <w:rsid w:val="00E9093C"/>
    <w:rsid w:val="00E935AF"/>
    <w:rsid w:val="00E95E5F"/>
    <w:rsid w:val="00EA60C5"/>
    <w:rsid w:val="00EB0E20"/>
    <w:rsid w:val="00EB0F9B"/>
    <w:rsid w:val="00EB1682"/>
    <w:rsid w:val="00EB1A80"/>
    <w:rsid w:val="00EB457B"/>
    <w:rsid w:val="00EC0ADF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47D"/>
    <w:rsid w:val="00EF3A8A"/>
    <w:rsid w:val="00F0054D"/>
    <w:rsid w:val="00F02467"/>
    <w:rsid w:val="00F04D0E"/>
    <w:rsid w:val="00F12214"/>
    <w:rsid w:val="00F12565"/>
    <w:rsid w:val="00F129C7"/>
    <w:rsid w:val="00F13392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481E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2643"/>
    <w:rsid w:val="00F826D0"/>
    <w:rsid w:val="00F84672"/>
    <w:rsid w:val="00F84802"/>
    <w:rsid w:val="00F84AED"/>
    <w:rsid w:val="00F94330"/>
    <w:rsid w:val="00F95848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50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B0EF7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/cs/farmakovigilanc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@uskvbl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harmacovigilance@bri.cz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uskvbl.cz/cs/registrace-a-schvalovani/registrace-vlp/seznam-vlp/aktualne-registrovane-v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7E044-805F-4998-A46A-ED5E9D1C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1970</Words>
  <Characters>11626</Characters>
  <Application>Microsoft Office Word</Application>
  <DocSecurity>0</DocSecurity>
  <Lines>96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26</cp:revision>
  <cp:lastPrinted>2026-01-21T14:15:00Z</cp:lastPrinted>
  <dcterms:created xsi:type="dcterms:W3CDTF">2025-09-16T15:16:00Z</dcterms:created>
  <dcterms:modified xsi:type="dcterms:W3CDTF">2026-01-21T14:15:00Z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