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E68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E657D0" w:rsidRDefault="00E657D0" w:rsidP="005A2E68">
      <w:pPr>
        <w:tabs>
          <w:tab w:val="clear" w:pos="567"/>
        </w:tabs>
        <w:spacing w:line="240" w:lineRule="auto"/>
        <w:rPr>
          <w:szCs w:val="22"/>
        </w:rPr>
      </w:pPr>
    </w:p>
    <w:p w:rsidR="00E657D0" w:rsidRDefault="00E657D0" w:rsidP="005A2E68">
      <w:pPr>
        <w:tabs>
          <w:tab w:val="clear" w:pos="567"/>
        </w:tabs>
        <w:spacing w:line="240" w:lineRule="auto"/>
        <w:rPr>
          <w:szCs w:val="22"/>
        </w:rPr>
      </w:pPr>
    </w:p>
    <w:p w:rsidR="00E657D0" w:rsidRDefault="00E657D0" w:rsidP="005A2E68">
      <w:pPr>
        <w:tabs>
          <w:tab w:val="clear" w:pos="567"/>
        </w:tabs>
        <w:spacing w:line="240" w:lineRule="auto"/>
        <w:rPr>
          <w:szCs w:val="22"/>
        </w:rPr>
      </w:pPr>
    </w:p>
    <w:p w:rsidR="00E657D0" w:rsidRDefault="00E657D0" w:rsidP="005A2E68">
      <w:pPr>
        <w:tabs>
          <w:tab w:val="clear" w:pos="567"/>
        </w:tabs>
        <w:spacing w:line="240" w:lineRule="auto"/>
        <w:rPr>
          <w:szCs w:val="22"/>
        </w:rPr>
      </w:pPr>
    </w:p>
    <w:p w:rsidR="00E657D0" w:rsidRDefault="00E657D0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Pr="00474C50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Pr="00474C50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Pr="00474C50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Pr="00474C50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Pr="00474C50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Pr="00474C50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Pr="00474C50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Pr="00474C50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Pr="00474C50" w:rsidRDefault="001206E4" w:rsidP="005A2E68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t>B. PŘÍBALOVÁ INFORMACE</w:t>
      </w:r>
    </w:p>
    <w:p w:rsidR="005A2E68" w:rsidRDefault="001206E4" w:rsidP="005A2E6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br w:type="page"/>
      </w:r>
      <w:r>
        <w:rPr>
          <w:b/>
        </w:rPr>
        <w:lastRenderedPageBreak/>
        <w:t>PŘÍBALOVÁ INFORMACE</w:t>
      </w:r>
    </w:p>
    <w:p w:rsidR="00A919CC" w:rsidRPr="00474C50" w:rsidRDefault="00A919CC" w:rsidP="005A2E68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:rsidR="005A2E68" w:rsidRPr="00474C50" w:rsidRDefault="005A2E68" w:rsidP="005A2E68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</w:p>
    <w:p w:rsidR="005A2E68" w:rsidRPr="00474C50" w:rsidRDefault="001206E4" w:rsidP="005A2E68">
      <w:pPr>
        <w:tabs>
          <w:tab w:val="clear" w:pos="567"/>
        </w:tabs>
        <w:spacing w:line="240" w:lineRule="auto"/>
        <w:rPr>
          <w:szCs w:val="22"/>
        </w:rPr>
      </w:pPr>
      <w:bookmarkStart w:id="0" w:name="_Hlk89897672"/>
      <w:r>
        <w:rPr>
          <w:b/>
          <w:highlight w:val="lightGray"/>
        </w:rPr>
        <w:t>1.</w:t>
      </w:r>
      <w:r>
        <w:rPr>
          <w:b/>
        </w:rPr>
        <w:tab/>
        <w:t>Název veterinárního léčivého přípravku</w:t>
      </w:r>
      <w:bookmarkEnd w:id="0"/>
    </w:p>
    <w:p w:rsidR="005A2E68" w:rsidRPr="00474C50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Pr="005A2E68" w:rsidRDefault="001349A3" w:rsidP="005A2E6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Glucose</w:t>
      </w:r>
      <w:proofErr w:type="spellEnd"/>
      <w:r>
        <w:t xml:space="preserve"> </w:t>
      </w:r>
      <w:proofErr w:type="spellStart"/>
      <w:r w:rsidR="001206E4">
        <w:t>Bernburg</w:t>
      </w:r>
      <w:proofErr w:type="spellEnd"/>
      <w:r w:rsidR="001206E4">
        <w:t xml:space="preserve"> 400 mg/ml infuzní roztok pro skot, koně, ovce, kozy, prasata, psy a kočky</w:t>
      </w:r>
    </w:p>
    <w:p w:rsidR="005A2E68" w:rsidRPr="00474C50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Pr="00474C50" w:rsidRDefault="001206E4" w:rsidP="005A2E6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Složení</w:t>
      </w:r>
    </w:p>
    <w:p w:rsidR="005A2E68" w:rsidRDefault="005A2E68" w:rsidP="005A2E68">
      <w:pPr>
        <w:tabs>
          <w:tab w:val="clear" w:pos="567"/>
        </w:tabs>
        <w:spacing w:line="240" w:lineRule="auto"/>
        <w:rPr>
          <w:iCs/>
          <w:szCs w:val="22"/>
        </w:rPr>
      </w:pPr>
    </w:p>
    <w:p w:rsidR="005A2E68" w:rsidRDefault="001206E4" w:rsidP="005A2E68">
      <w:pPr>
        <w:tabs>
          <w:tab w:val="clear" w:pos="567"/>
        </w:tabs>
        <w:spacing w:line="240" w:lineRule="auto"/>
        <w:rPr>
          <w:szCs w:val="22"/>
        </w:rPr>
      </w:pPr>
      <w:r>
        <w:t>1 ml obsahuje</w:t>
      </w:r>
    </w:p>
    <w:p w:rsidR="005A2E68" w:rsidRPr="00474C50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Default="0058146C" w:rsidP="005A2E68">
      <w:pPr>
        <w:tabs>
          <w:tab w:val="clear" w:pos="567"/>
        </w:tabs>
        <w:spacing w:line="240" w:lineRule="auto"/>
        <w:rPr>
          <w:spacing w:val="29"/>
        </w:rPr>
      </w:pPr>
      <w:proofErr w:type="spellStart"/>
      <w:r>
        <w:t>Glucosum</w:t>
      </w:r>
      <w:proofErr w:type="spellEnd"/>
      <w:r w:rsidR="001206E4">
        <w:t xml:space="preserve"> </w:t>
      </w:r>
      <w:r w:rsidR="001206E4">
        <w:tab/>
        <w:t xml:space="preserve">400 mg </w:t>
      </w:r>
    </w:p>
    <w:p w:rsidR="005A2E68" w:rsidRDefault="001206E4" w:rsidP="005A2E68">
      <w:pPr>
        <w:tabs>
          <w:tab w:val="clear" w:pos="567"/>
        </w:tabs>
        <w:spacing w:line="240" w:lineRule="auto"/>
        <w:rPr>
          <w:spacing w:val="-2"/>
        </w:rPr>
      </w:pPr>
      <w:r>
        <w:t xml:space="preserve">(odpovídá </w:t>
      </w:r>
      <w:proofErr w:type="spellStart"/>
      <w:r w:rsidR="0058146C">
        <w:t>glucosum</w:t>
      </w:r>
      <w:proofErr w:type="spellEnd"/>
      <w:r w:rsidR="0058146C">
        <w:t xml:space="preserve"> </w:t>
      </w:r>
      <w:proofErr w:type="spellStart"/>
      <w:r w:rsidR="0058146C">
        <w:t>monohydricum</w:t>
      </w:r>
      <w:proofErr w:type="spellEnd"/>
      <w:r>
        <w:t xml:space="preserve"> 440 mg)</w:t>
      </w:r>
    </w:p>
    <w:p w:rsidR="005A2E68" w:rsidRDefault="005A2E68" w:rsidP="005A2E68">
      <w:pPr>
        <w:tabs>
          <w:tab w:val="clear" w:pos="567"/>
        </w:tabs>
        <w:spacing w:line="240" w:lineRule="auto"/>
        <w:rPr>
          <w:spacing w:val="-2"/>
        </w:rPr>
      </w:pPr>
    </w:p>
    <w:p w:rsidR="00472BC5" w:rsidRDefault="001206E4" w:rsidP="005A2E68">
      <w:pPr>
        <w:tabs>
          <w:tab w:val="clear" w:pos="567"/>
        </w:tabs>
        <w:spacing w:line="240" w:lineRule="auto"/>
        <w:rPr>
          <w:spacing w:val="-2"/>
        </w:rPr>
      </w:pPr>
      <w:r>
        <w:t>Infuzní roztok</w:t>
      </w:r>
    </w:p>
    <w:p w:rsidR="005A2E68" w:rsidRPr="00474C50" w:rsidRDefault="001206E4" w:rsidP="005A2E68">
      <w:pPr>
        <w:tabs>
          <w:tab w:val="clear" w:pos="567"/>
        </w:tabs>
        <w:spacing w:line="240" w:lineRule="auto"/>
        <w:rPr>
          <w:iCs/>
          <w:szCs w:val="22"/>
        </w:rPr>
      </w:pPr>
      <w:r>
        <w:t>Čirý, bezbarvý až mírně nažloutlý roztok, bez viditelných částic.</w:t>
      </w:r>
    </w:p>
    <w:p w:rsidR="001324AF" w:rsidRDefault="001324AF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Pr="00474C50" w:rsidRDefault="001206E4" w:rsidP="005A2E6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Cílové druhy zvířat</w:t>
      </w:r>
    </w:p>
    <w:p w:rsidR="005A2E68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1324AF" w:rsidRDefault="001206E4" w:rsidP="005A2E68">
      <w:pPr>
        <w:tabs>
          <w:tab w:val="clear" w:pos="567"/>
        </w:tabs>
        <w:spacing w:line="240" w:lineRule="auto"/>
        <w:rPr>
          <w:szCs w:val="22"/>
        </w:rPr>
      </w:pPr>
      <w:r>
        <w:t>Skot, koně, ovce, kozy, prasata, psi a kočky</w:t>
      </w:r>
    </w:p>
    <w:p w:rsidR="006203FC" w:rsidRPr="00474C50" w:rsidRDefault="006203FC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Pr="00474C50" w:rsidRDefault="001206E4" w:rsidP="005A2E6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Indikace pro použití</w:t>
      </w:r>
    </w:p>
    <w:p w:rsidR="005A2E68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2E7720" w:rsidRPr="00AA22A1" w:rsidRDefault="001206E4" w:rsidP="002E7720">
      <w:pPr>
        <w:tabs>
          <w:tab w:val="clear" w:pos="567"/>
        </w:tabs>
        <w:spacing w:line="240" w:lineRule="auto"/>
        <w:rPr>
          <w:szCs w:val="22"/>
        </w:rPr>
      </w:pPr>
      <w:r>
        <w:t>Skot, ovce a koz</w:t>
      </w:r>
      <w:r w:rsidR="00BB6029">
        <w:t>a</w:t>
      </w:r>
      <w:r>
        <w:t>:</w:t>
      </w:r>
    </w:p>
    <w:p w:rsidR="002E7720" w:rsidRPr="00AA22A1" w:rsidRDefault="001206E4" w:rsidP="002E7720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Metabolické syndromy, které se vyskytují při hypoglykémii (ketóza, transportní tetanie).</w:t>
      </w:r>
    </w:p>
    <w:p w:rsidR="002E7720" w:rsidRPr="00AA22A1" w:rsidRDefault="001206E4" w:rsidP="002E7720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Zvýšené energetické nároky při: sepsi, </w:t>
      </w:r>
      <w:proofErr w:type="spellStart"/>
      <w:r>
        <w:t>endotox</w:t>
      </w:r>
      <w:r w:rsidR="00BB6029">
        <w:t>é</w:t>
      </w:r>
      <w:r>
        <w:t>mii</w:t>
      </w:r>
      <w:proofErr w:type="spellEnd"/>
      <w:r>
        <w:t>, traumatu.</w:t>
      </w:r>
    </w:p>
    <w:p w:rsidR="002E7720" w:rsidRDefault="002E7720" w:rsidP="002E7720">
      <w:pPr>
        <w:tabs>
          <w:tab w:val="clear" w:pos="567"/>
        </w:tabs>
        <w:spacing w:line="240" w:lineRule="auto"/>
        <w:rPr>
          <w:szCs w:val="22"/>
        </w:rPr>
      </w:pPr>
    </w:p>
    <w:p w:rsidR="002E7720" w:rsidRPr="00AA22A1" w:rsidRDefault="001206E4" w:rsidP="002E7720">
      <w:pPr>
        <w:tabs>
          <w:tab w:val="clear" w:pos="567"/>
        </w:tabs>
        <w:spacing w:line="240" w:lineRule="auto"/>
        <w:rPr>
          <w:szCs w:val="22"/>
        </w:rPr>
      </w:pPr>
      <w:r>
        <w:t>Pras</w:t>
      </w:r>
      <w:r w:rsidR="00BB6029">
        <w:t>e</w:t>
      </w:r>
      <w:r>
        <w:t>:</w:t>
      </w:r>
    </w:p>
    <w:p w:rsidR="002E7720" w:rsidRPr="00AA22A1" w:rsidRDefault="001206E4" w:rsidP="002E7720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Zvýšené energetické nároky při: sepsi, </w:t>
      </w:r>
      <w:proofErr w:type="spellStart"/>
      <w:r>
        <w:t>endotox</w:t>
      </w:r>
      <w:r w:rsidR="00BB6029">
        <w:t>é</w:t>
      </w:r>
      <w:r>
        <w:t>mii</w:t>
      </w:r>
      <w:proofErr w:type="spellEnd"/>
      <w:r>
        <w:t>, traumatu.</w:t>
      </w:r>
    </w:p>
    <w:p w:rsidR="002E7720" w:rsidRPr="00AA22A1" w:rsidRDefault="001206E4" w:rsidP="002E7720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Hypoglykémie.</w:t>
      </w:r>
    </w:p>
    <w:p w:rsidR="002E7720" w:rsidRPr="00AA22A1" w:rsidRDefault="002E7720" w:rsidP="002E7720">
      <w:pPr>
        <w:tabs>
          <w:tab w:val="clear" w:pos="567"/>
        </w:tabs>
        <w:spacing w:line="240" w:lineRule="auto"/>
        <w:rPr>
          <w:szCs w:val="22"/>
        </w:rPr>
      </w:pPr>
    </w:p>
    <w:p w:rsidR="002E7720" w:rsidRPr="00AA22A1" w:rsidRDefault="001206E4" w:rsidP="002E7720">
      <w:pPr>
        <w:tabs>
          <w:tab w:val="clear" w:pos="567"/>
        </w:tabs>
        <w:spacing w:line="240" w:lineRule="auto"/>
        <w:rPr>
          <w:szCs w:val="22"/>
        </w:rPr>
      </w:pPr>
      <w:r>
        <w:t>Kůň, pes a kočka:</w:t>
      </w:r>
    </w:p>
    <w:p w:rsidR="002E7720" w:rsidRPr="00AA22A1" w:rsidRDefault="001206E4" w:rsidP="002E7720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Zvýšené energetické nároky při: sepsi, </w:t>
      </w:r>
      <w:proofErr w:type="spellStart"/>
      <w:r>
        <w:t>endotox</w:t>
      </w:r>
      <w:r w:rsidR="00BB6029">
        <w:t>é</w:t>
      </w:r>
      <w:r>
        <w:t>mii</w:t>
      </w:r>
      <w:proofErr w:type="spellEnd"/>
      <w:r>
        <w:t>, traumatu.</w:t>
      </w:r>
    </w:p>
    <w:p w:rsidR="002E7720" w:rsidRPr="00AA22A1" w:rsidRDefault="002E7720" w:rsidP="002E7720">
      <w:pPr>
        <w:tabs>
          <w:tab w:val="clear" w:pos="567"/>
        </w:tabs>
        <w:spacing w:line="240" w:lineRule="auto"/>
        <w:rPr>
          <w:szCs w:val="22"/>
        </w:rPr>
      </w:pPr>
    </w:p>
    <w:p w:rsidR="002E7720" w:rsidRDefault="001206E4" w:rsidP="002E7720">
      <w:pPr>
        <w:tabs>
          <w:tab w:val="clear" w:pos="567"/>
        </w:tabs>
        <w:spacing w:line="240" w:lineRule="auto"/>
        <w:rPr>
          <w:szCs w:val="22"/>
        </w:rPr>
      </w:pPr>
      <w:r>
        <w:t>Obecně se používá k dodávce energie u všech cílových druhů zvířat.</w:t>
      </w:r>
    </w:p>
    <w:p w:rsidR="006203FC" w:rsidRPr="00474C50" w:rsidRDefault="006203FC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Default="001206E4" w:rsidP="005A2E6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Kontraindikace</w:t>
      </w:r>
    </w:p>
    <w:p w:rsidR="002E7720" w:rsidRDefault="002E7720" w:rsidP="002E7720">
      <w:pPr>
        <w:tabs>
          <w:tab w:val="clear" w:pos="567"/>
        </w:tabs>
        <w:spacing w:line="240" w:lineRule="auto"/>
        <w:rPr>
          <w:szCs w:val="22"/>
        </w:rPr>
      </w:pPr>
    </w:p>
    <w:p w:rsidR="002E7720" w:rsidRPr="00005650" w:rsidRDefault="001206E4" w:rsidP="002E7720">
      <w:pPr>
        <w:tabs>
          <w:tab w:val="clear" w:pos="567"/>
        </w:tabs>
        <w:spacing w:line="240" w:lineRule="auto"/>
        <w:rPr>
          <w:szCs w:val="22"/>
        </w:rPr>
      </w:pPr>
      <w:r>
        <w:t>Nepoužívat v případech:</w:t>
      </w:r>
    </w:p>
    <w:p w:rsidR="002E7720" w:rsidRPr="00005650" w:rsidRDefault="001206E4" w:rsidP="002E7720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Intrakraniální nebo </w:t>
      </w:r>
      <w:proofErr w:type="spellStart"/>
      <w:r>
        <w:t>intraspinální</w:t>
      </w:r>
      <w:proofErr w:type="spellEnd"/>
      <w:r>
        <w:t xml:space="preserve"> krvácení.</w:t>
      </w:r>
    </w:p>
    <w:p w:rsidR="002E7720" w:rsidRPr="00005650" w:rsidRDefault="001206E4" w:rsidP="002E7720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Neléčený diabetes </w:t>
      </w:r>
      <w:proofErr w:type="spellStart"/>
      <w:r>
        <w:t>mellitus</w:t>
      </w:r>
      <w:proofErr w:type="spellEnd"/>
      <w:r>
        <w:t>.</w:t>
      </w:r>
    </w:p>
    <w:p w:rsidR="002E7720" w:rsidRPr="00005650" w:rsidRDefault="001206E4" w:rsidP="002E7720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Hypotonická dehydratace.</w:t>
      </w:r>
    </w:p>
    <w:p w:rsidR="002E7720" w:rsidRPr="00005650" w:rsidRDefault="001206E4" w:rsidP="002E7720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Deplece elektrolytů.</w:t>
      </w:r>
    </w:p>
    <w:p w:rsidR="002E7720" w:rsidRPr="00005650" w:rsidRDefault="001206E4" w:rsidP="002E7720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Anurie.</w:t>
      </w:r>
    </w:p>
    <w:p w:rsidR="002E7720" w:rsidRPr="00005650" w:rsidRDefault="001206E4" w:rsidP="002E7720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r>
        <w:t>Periferní edémy.</w:t>
      </w:r>
    </w:p>
    <w:p w:rsidR="002E7720" w:rsidRDefault="001206E4" w:rsidP="002E7720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Addisonova</w:t>
      </w:r>
      <w:proofErr w:type="spellEnd"/>
      <w:r>
        <w:t xml:space="preserve"> choroba (</w:t>
      </w:r>
      <w:proofErr w:type="spellStart"/>
      <w:r>
        <w:t>hypoadrenokorticismus</w:t>
      </w:r>
      <w:proofErr w:type="spellEnd"/>
      <w:r>
        <w:t>) u malých zvířat.</w:t>
      </w:r>
    </w:p>
    <w:p w:rsidR="005A2E68" w:rsidRDefault="001206E4" w:rsidP="0034300E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Hemoperfuze</w:t>
      </w:r>
      <w:proofErr w:type="spellEnd"/>
      <w:r>
        <w:t>.</w:t>
      </w:r>
    </w:p>
    <w:p w:rsidR="006203FC" w:rsidRPr="00474C50" w:rsidRDefault="006203FC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Default="001206E4" w:rsidP="005A2E6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Zvláštní upozornění</w:t>
      </w:r>
    </w:p>
    <w:p w:rsidR="005A2E68" w:rsidRPr="00474C50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2E7720" w:rsidRDefault="001206E4" w:rsidP="002E772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bezpečné použití u cílových druhů zvířat:</w:t>
      </w:r>
    </w:p>
    <w:p w:rsidR="002E7720" w:rsidRPr="00474C50" w:rsidRDefault="001206E4" w:rsidP="002E7720">
      <w:pPr>
        <w:tabs>
          <w:tab w:val="clear" w:pos="567"/>
        </w:tabs>
        <w:spacing w:line="240" w:lineRule="auto"/>
        <w:rPr>
          <w:szCs w:val="22"/>
        </w:rPr>
      </w:pPr>
      <w:r>
        <w:t>Pravidelně je třeba sledovat hladinu glukózy v krvi a moči, elektrolytovou a vodní bilanci. Při vysokých dávkách je třeba podle potřeby doplňovat draslík a fosfáty.</w:t>
      </w:r>
    </w:p>
    <w:p w:rsidR="002E7720" w:rsidRPr="00474C50" w:rsidRDefault="002E7720" w:rsidP="002E7720">
      <w:pPr>
        <w:tabs>
          <w:tab w:val="clear" w:pos="567"/>
        </w:tabs>
        <w:spacing w:line="240" w:lineRule="auto"/>
        <w:rPr>
          <w:szCs w:val="22"/>
        </w:rPr>
      </w:pPr>
    </w:p>
    <w:p w:rsidR="002E7720" w:rsidRPr="00474C50" w:rsidRDefault="001206E4" w:rsidP="00FB689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osobu, která podává veterinární léčivý přípravek zvířatům:</w:t>
      </w:r>
    </w:p>
    <w:p w:rsidR="002E7720" w:rsidRDefault="001206E4" w:rsidP="002E7720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veterinární léčivý přípravek je hypertonický roztok. Zacházejte s ním v souladu se stanovenými pravidly pro používání injekčních přípravků a dbejte zvýšené opatrnosti, aby nedošlo k náhodnému </w:t>
      </w:r>
      <w:r>
        <w:lastRenderedPageBreak/>
        <w:t>samovolnému vstříknutí. V případě náhodného sebepoškození injekčně podaným přípravkem vyhledejte ihned lékařskou pomoc a ukažte příbalovou informaci nebo etiketu praktickému lékaři.</w:t>
      </w:r>
    </w:p>
    <w:p w:rsidR="002E7720" w:rsidRDefault="002E7720" w:rsidP="002E7720">
      <w:pPr>
        <w:tabs>
          <w:tab w:val="clear" w:pos="567"/>
        </w:tabs>
        <w:spacing w:line="240" w:lineRule="auto"/>
        <w:rPr>
          <w:szCs w:val="22"/>
        </w:rPr>
      </w:pPr>
    </w:p>
    <w:p w:rsidR="002E7720" w:rsidRPr="005A2E68" w:rsidRDefault="001206E4" w:rsidP="002E7720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Březost a laktace:</w:t>
      </w:r>
    </w:p>
    <w:p w:rsidR="002E7720" w:rsidRDefault="005A40E4" w:rsidP="002E7720">
      <w:pPr>
        <w:tabs>
          <w:tab w:val="clear" w:pos="567"/>
        </w:tabs>
        <w:spacing w:line="240" w:lineRule="auto"/>
        <w:rPr>
          <w:szCs w:val="22"/>
        </w:rPr>
      </w:pPr>
      <w:r w:rsidRPr="005A40E4">
        <w:t>Nebyla stanovena bezpečnost veterinárního léčivého přípravku pro použití během březosti a laktace.</w:t>
      </w:r>
      <w:r w:rsidR="001206E4">
        <w:t xml:space="preserve"> Použít pouze po zvážení terapeutického prospěchu a rizika příslušným veterinárním lékařem.</w:t>
      </w:r>
    </w:p>
    <w:p w:rsidR="002E7720" w:rsidRPr="00474C50" w:rsidRDefault="002E7720" w:rsidP="002E7720">
      <w:pPr>
        <w:tabs>
          <w:tab w:val="clear" w:pos="567"/>
        </w:tabs>
        <w:spacing w:line="240" w:lineRule="auto"/>
        <w:rPr>
          <w:szCs w:val="22"/>
        </w:rPr>
      </w:pPr>
    </w:p>
    <w:p w:rsidR="002E7720" w:rsidRPr="00474C50" w:rsidRDefault="001206E4" w:rsidP="002E772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Interakce s jinými léčivými přípravky a další formy interakce:</w:t>
      </w:r>
    </w:p>
    <w:p w:rsidR="002E7720" w:rsidRPr="00474C50" w:rsidRDefault="001206E4" w:rsidP="002E7720">
      <w:pPr>
        <w:tabs>
          <w:tab w:val="clear" w:pos="567"/>
        </w:tabs>
        <w:spacing w:line="240" w:lineRule="auto"/>
        <w:rPr>
          <w:szCs w:val="22"/>
        </w:rPr>
      </w:pPr>
      <w:r>
        <w:t>Jsou známy inkompatibility s některými antibiotiky (např. beta-</w:t>
      </w:r>
      <w:proofErr w:type="spellStart"/>
      <w:r>
        <w:t>laktamovými</w:t>
      </w:r>
      <w:proofErr w:type="spellEnd"/>
      <w:r>
        <w:t xml:space="preserve"> antibiotiky, tetracykliny, sodnou solí </w:t>
      </w:r>
      <w:proofErr w:type="spellStart"/>
      <w:r>
        <w:t>sulfadiazinu</w:t>
      </w:r>
      <w:proofErr w:type="spellEnd"/>
      <w:r>
        <w:t>) a heparinem.</w:t>
      </w:r>
    </w:p>
    <w:p w:rsidR="002E7720" w:rsidRPr="00474C50" w:rsidRDefault="002E7720" w:rsidP="002E7720">
      <w:pPr>
        <w:tabs>
          <w:tab w:val="clear" w:pos="567"/>
        </w:tabs>
        <w:spacing w:line="240" w:lineRule="auto"/>
        <w:rPr>
          <w:szCs w:val="22"/>
        </w:rPr>
      </w:pPr>
    </w:p>
    <w:p w:rsidR="002E7720" w:rsidRPr="00474C50" w:rsidRDefault="001206E4" w:rsidP="005A40E4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Předávkování:</w:t>
      </w:r>
    </w:p>
    <w:p w:rsidR="002E7720" w:rsidRDefault="001206E4" w:rsidP="002E7720">
      <w:pPr>
        <w:tabs>
          <w:tab w:val="clear" w:pos="567"/>
        </w:tabs>
        <w:spacing w:line="240" w:lineRule="auto"/>
        <w:rPr>
          <w:szCs w:val="22"/>
        </w:rPr>
      </w:pPr>
      <w:r>
        <w:t>Podávání nadměrného množství glukózy může vést k hyperglykémii, glykosurii a polyurii.</w:t>
      </w:r>
    </w:p>
    <w:p w:rsidR="002E7720" w:rsidRPr="00474C50" w:rsidRDefault="002E7720" w:rsidP="002E7720">
      <w:pPr>
        <w:tabs>
          <w:tab w:val="clear" w:pos="567"/>
        </w:tabs>
        <w:spacing w:line="240" w:lineRule="auto"/>
        <w:rPr>
          <w:szCs w:val="22"/>
        </w:rPr>
      </w:pPr>
    </w:p>
    <w:p w:rsidR="002E7720" w:rsidRDefault="001206E4" w:rsidP="002E7720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Hlavní inkompatibility:</w:t>
      </w:r>
    </w:p>
    <w:p w:rsidR="002E7720" w:rsidRPr="00CC00AA" w:rsidRDefault="0058146C" w:rsidP="002E7720">
      <w:pPr>
        <w:tabs>
          <w:tab w:val="clear" w:pos="567"/>
        </w:tabs>
        <w:spacing w:line="240" w:lineRule="auto"/>
        <w:rPr>
          <w:szCs w:val="22"/>
        </w:rPr>
      </w:pPr>
      <w:r>
        <w:t>Tento l</w:t>
      </w:r>
      <w:r w:rsidR="00AB0FB3" w:rsidRPr="00AB0FB3">
        <w:t xml:space="preserve">éčivý přípravek je inkompatibilní s </w:t>
      </w:r>
      <w:r>
        <w:t>natrium-kalcium-</w:t>
      </w:r>
      <w:proofErr w:type="spellStart"/>
      <w:r>
        <w:t>edetátem</w:t>
      </w:r>
      <w:proofErr w:type="spellEnd"/>
      <w:r>
        <w:t xml:space="preserve">, histamin-fosfátem, sodnou solí </w:t>
      </w:r>
      <w:proofErr w:type="spellStart"/>
      <w:r>
        <w:t>warfarinu</w:t>
      </w:r>
      <w:proofErr w:type="spellEnd"/>
      <w:r>
        <w:t xml:space="preserve"> a sodnou solí </w:t>
      </w:r>
      <w:proofErr w:type="spellStart"/>
      <w:r>
        <w:t>thiopentalu</w:t>
      </w:r>
      <w:proofErr w:type="spellEnd"/>
      <w:r w:rsidR="00F21D2E">
        <w:t>.</w:t>
      </w:r>
      <w:r w:rsidRPr="00AB0FB3" w:rsidDel="0058146C">
        <w:t xml:space="preserve"> </w:t>
      </w:r>
    </w:p>
    <w:p w:rsidR="002E7720" w:rsidRPr="00CC00AA" w:rsidRDefault="00DF05DE" w:rsidP="002E7720">
      <w:pPr>
        <w:tabs>
          <w:tab w:val="clear" w:pos="567"/>
        </w:tabs>
        <w:spacing w:line="240" w:lineRule="auto"/>
        <w:rPr>
          <w:szCs w:val="22"/>
        </w:rPr>
      </w:pPr>
      <w:r w:rsidRPr="00DF05DE">
        <w:t>Studie kompatibility nejsou k dispozici, a proto tento veterinární léčivý přípravek nesmí být mísen s žádnými dalšími veterinárními léčivými přípravky</w:t>
      </w:r>
      <w:r w:rsidR="001206E4">
        <w:t>.</w:t>
      </w:r>
    </w:p>
    <w:p w:rsidR="005A2E68" w:rsidRPr="00474C50" w:rsidRDefault="001206E4" w:rsidP="002E7720">
      <w:pPr>
        <w:tabs>
          <w:tab w:val="clear" w:pos="567"/>
        </w:tabs>
        <w:spacing w:line="240" w:lineRule="auto"/>
        <w:rPr>
          <w:szCs w:val="22"/>
        </w:rPr>
      </w:pPr>
      <w:r>
        <w:t xml:space="preserve">Roztoky glukózy by neměly být podávány stejným infuzním zařízením současně s podáním krve, před ním nebo po něm, protože by mohlo dojít k </w:t>
      </w:r>
      <w:proofErr w:type="spellStart"/>
      <w:r>
        <w:t>pseudoaglutinaci</w:t>
      </w:r>
      <w:proofErr w:type="spellEnd"/>
      <w:r>
        <w:t>.</w:t>
      </w:r>
    </w:p>
    <w:p w:rsidR="006203FC" w:rsidRPr="00474C50" w:rsidRDefault="006203FC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Default="001206E4" w:rsidP="005A2E6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Nežádoucí účinky</w:t>
      </w:r>
    </w:p>
    <w:p w:rsidR="002E7720" w:rsidRDefault="002E7720" w:rsidP="005A2E68">
      <w:pPr>
        <w:tabs>
          <w:tab w:val="clear" w:pos="567"/>
        </w:tabs>
        <w:spacing w:line="240" w:lineRule="auto"/>
        <w:rPr>
          <w:b/>
          <w:szCs w:val="22"/>
        </w:rPr>
      </w:pPr>
    </w:p>
    <w:p w:rsidR="004B4D3A" w:rsidRPr="00A54B04" w:rsidRDefault="004B4D3A" w:rsidP="004B4D3A">
      <w:r>
        <w:t>Skot, koně, ovce, kozy, prasata, psi a kočky</w:t>
      </w:r>
      <w:r w:rsidRPr="00A54B04">
        <w:t>:</w:t>
      </w:r>
    </w:p>
    <w:p w:rsidR="004B4D3A" w:rsidRPr="00A54B04" w:rsidRDefault="004B4D3A" w:rsidP="004B4D3A"/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9"/>
        <w:gridCol w:w="5634"/>
      </w:tblGrid>
      <w:tr w:rsidR="004B4D3A" w:rsidRPr="002F5C23" w:rsidTr="001470D7">
        <w:trPr>
          <w:trHeight w:val="3074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3974" w:rsidRPr="00BE3974" w:rsidRDefault="00BE3974" w:rsidP="00BE3974">
            <w:pPr>
              <w:rPr>
                <w:bCs/>
                <w:iCs/>
                <w:szCs w:val="22"/>
              </w:rPr>
            </w:pPr>
            <w:r w:rsidRPr="00BE3974">
              <w:rPr>
                <w:bCs/>
                <w:iCs/>
                <w:szCs w:val="22"/>
              </w:rPr>
              <w:t>Neznámá četnost</w:t>
            </w:r>
          </w:p>
          <w:p w:rsidR="00BE3974" w:rsidRPr="00BE3974" w:rsidRDefault="00BE3974" w:rsidP="00BE3974">
            <w:pPr>
              <w:rPr>
                <w:bCs/>
                <w:iCs/>
                <w:szCs w:val="22"/>
              </w:rPr>
            </w:pPr>
            <w:r w:rsidRPr="00BE3974">
              <w:rPr>
                <w:bCs/>
                <w:iCs/>
                <w:szCs w:val="22"/>
              </w:rPr>
              <w:t>(z dostupných údajů nelze určit)</w:t>
            </w:r>
          </w:p>
          <w:p w:rsidR="004B4D3A" w:rsidRPr="002F5C23" w:rsidRDefault="004B4D3A" w:rsidP="001470D7">
            <w:pPr>
              <w:pStyle w:val="Nadpis2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5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6029" w:rsidRPr="00A54B04" w:rsidRDefault="00BB6029" w:rsidP="00BB6029">
            <w:pPr>
              <w:numPr>
                <w:ilvl w:val="0"/>
                <w:numId w:val="3"/>
              </w:numPr>
              <w:tabs>
                <w:tab w:val="clear" w:pos="567"/>
              </w:tabs>
              <w:spacing w:line="240" w:lineRule="auto"/>
            </w:pPr>
            <w:r w:rsidRPr="0035135B">
              <w:t>Hyperglykémi</w:t>
            </w:r>
            <w:r>
              <w:t>e</w:t>
            </w:r>
          </w:p>
          <w:p w:rsidR="00BB6029" w:rsidRPr="00A54B04" w:rsidRDefault="00BB6029" w:rsidP="00BB6029">
            <w:pPr>
              <w:numPr>
                <w:ilvl w:val="0"/>
                <w:numId w:val="3"/>
              </w:numPr>
              <w:tabs>
                <w:tab w:val="clear" w:pos="567"/>
              </w:tabs>
              <w:spacing w:line="240" w:lineRule="auto"/>
            </w:pPr>
            <w:r w:rsidRPr="00A54B04">
              <w:t>Glykosuri</w:t>
            </w:r>
            <w:r>
              <w:t>e</w:t>
            </w:r>
          </w:p>
          <w:p w:rsidR="00BB6029" w:rsidRPr="00A54B04" w:rsidRDefault="00BB6029" w:rsidP="00BB6029">
            <w:pPr>
              <w:numPr>
                <w:ilvl w:val="0"/>
                <w:numId w:val="3"/>
              </w:numPr>
              <w:tabs>
                <w:tab w:val="clear" w:pos="567"/>
              </w:tabs>
              <w:spacing w:line="240" w:lineRule="auto"/>
            </w:pPr>
            <w:r w:rsidRPr="00A54B04">
              <w:t>Nerovnováh</w:t>
            </w:r>
            <w:r w:rsidR="007F4931">
              <w:t>a</w:t>
            </w:r>
            <w:r w:rsidRPr="00A54B04">
              <w:t xml:space="preserve"> elektrolytů (</w:t>
            </w:r>
            <w:proofErr w:type="spellStart"/>
            <w:r w:rsidRPr="00A54B04">
              <w:t>hypokalémi</w:t>
            </w:r>
            <w:r>
              <w:t>e</w:t>
            </w:r>
            <w:proofErr w:type="spellEnd"/>
            <w:r w:rsidRPr="00A54B04">
              <w:t xml:space="preserve">, </w:t>
            </w:r>
            <w:proofErr w:type="spellStart"/>
            <w:r w:rsidRPr="00A54B04">
              <w:t>hypomagnezémi</w:t>
            </w:r>
            <w:r>
              <w:t>e</w:t>
            </w:r>
            <w:proofErr w:type="spellEnd"/>
            <w:r w:rsidRPr="00A54B04">
              <w:t xml:space="preserve"> nebo </w:t>
            </w:r>
            <w:proofErr w:type="spellStart"/>
            <w:r w:rsidRPr="00A54B04">
              <w:t>hypofosfatémi</w:t>
            </w:r>
            <w:r>
              <w:t>e</w:t>
            </w:r>
            <w:proofErr w:type="spellEnd"/>
            <w:r w:rsidRPr="00A54B04">
              <w:t>)</w:t>
            </w:r>
          </w:p>
          <w:p w:rsidR="00BB6029" w:rsidRPr="002F5C23" w:rsidRDefault="00BB6029" w:rsidP="00BB6029">
            <w:pPr>
              <w:numPr>
                <w:ilvl w:val="0"/>
                <w:numId w:val="3"/>
              </w:numPr>
              <w:tabs>
                <w:tab w:val="clear" w:pos="567"/>
              </w:tabs>
              <w:spacing w:line="240" w:lineRule="auto"/>
            </w:pPr>
            <w:r>
              <w:t>H</w:t>
            </w:r>
            <w:r w:rsidRPr="00AC7966">
              <w:t>ypervolémie</w:t>
            </w:r>
          </w:p>
          <w:p w:rsidR="00BB6029" w:rsidRPr="00A54B04" w:rsidRDefault="00E43DFC" w:rsidP="00BB6029">
            <w:pPr>
              <w:numPr>
                <w:ilvl w:val="0"/>
                <w:numId w:val="3"/>
              </w:numPr>
              <w:tabs>
                <w:tab w:val="clear" w:pos="567"/>
              </w:tabs>
              <w:spacing w:line="240" w:lineRule="auto"/>
            </w:pPr>
            <w:r>
              <w:t xml:space="preserve">Podráždění </w:t>
            </w:r>
            <w:proofErr w:type="spellStart"/>
            <w:r>
              <w:t>žíl</w:t>
            </w:r>
            <w:proofErr w:type="spellEnd"/>
            <w:r>
              <w:t xml:space="preserve"> n</w:t>
            </w:r>
            <w:r w:rsidR="002F600E">
              <w:t>e</w:t>
            </w:r>
            <w:r>
              <w:t>bo f</w:t>
            </w:r>
            <w:r w:rsidR="00BB6029" w:rsidRPr="00A54B04">
              <w:t>lebitid</w:t>
            </w:r>
            <w:r w:rsidR="00BB6029">
              <w:t>a</w:t>
            </w:r>
            <w:r w:rsidR="00F93F33">
              <w:rPr>
                <w:vertAlign w:val="superscript"/>
              </w:rPr>
              <w:t>2,3</w:t>
            </w:r>
            <w:r w:rsidR="00BB6029" w:rsidRPr="00A54B04">
              <w:t xml:space="preserve"> a/nebo srážení krve v místě </w:t>
            </w:r>
            <w:r w:rsidR="00BB6029">
              <w:t>injekčního podání</w:t>
            </w:r>
            <w:r w:rsidR="00BB6029" w:rsidRPr="00A54B04">
              <w:rPr>
                <w:vertAlign w:val="superscript"/>
              </w:rPr>
              <w:t>1</w:t>
            </w:r>
          </w:p>
          <w:p w:rsidR="00BB6029" w:rsidRPr="00A54B04" w:rsidRDefault="00BB6029" w:rsidP="00BB6029">
            <w:pPr>
              <w:numPr>
                <w:ilvl w:val="0"/>
                <w:numId w:val="3"/>
              </w:numPr>
              <w:tabs>
                <w:tab w:val="clear" w:pos="567"/>
              </w:tabs>
              <w:spacing w:line="240" w:lineRule="auto"/>
            </w:pPr>
            <w:r>
              <w:t>E</w:t>
            </w:r>
            <w:r w:rsidRPr="008D2129">
              <w:t>xtravazac</w:t>
            </w:r>
            <w:r>
              <w:t>e</w:t>
            </w:r>
            <w:r w:rsidRPr="0035135B">
              <w:rPr>
                <w:vertAlign w:val="superscript"/>
              </w:rPr>
              <w:t>2, 3</w:t>
            </w:r>
          </w:p>
          <w:p w:rsidR="00BB6029" w:rsidRPr="00A54B04" w:rsidRDefault="00BB6029" w:rsidP="00BB6029">
            <w:pPr>
              <w:numPr>
                <w:ilvl w:val="0"/>
                <w:numId w:val="3"/>
              </w:numPr>
              <w:tabs>
                <w:tab w:val="clear" w:pos="567"/>
              </w:tabs>
              <w:spacing w:line="240" w:lineRule="auto"/>
            </w:pPr>
            <w:r w:rsidRPr="00A54B04">
              <w:t>Infekc</w:t>
            </w:r>
            <w:r>
              <w:t>e</w:t>
            </w:r>
            <w:r w:rsidRPr="00A54B04">
              <w:t xml:space="preserve"> v místě </w:t>
            </w:r>
            <w:r>
              <w:t>injekčního podání</w:t>
            </w:r>
            <w:r w:rsidRPr="00A54B04">
              <w:rPr>
                <w:vertAlign w:val="superscript"/>
              </w:rPr>
              <w:t>2, 3</w:t>
            </w:r>
          </w:p>
          <w:p w:rsidR="00BB6029" w:rsidRPr="002F5C23" w:rsidRDefault="00BB6029" w:rsidP="00BB6029">
            <w:pPr>
              <w:numPr>
                <w:ilvl w:val="0"/>
                <w:numId w:val="3"/>
              </w:numPr>
              <w:tabs>
                <w:tab w:val="clear" w:pos="567"/>
              </w:tabs>
              <w:spacing w:line="240" w:lineRule="auto"/>
            </w:pPr>
            <w:r>
              <w:t>L</w:t>
            </w:r>
            <w:r w:rsidRPr="008D2129">
              <w:t>okální bolest</w:t>
            </w:r>
            <w:r w:rsidRPr="0035135B">
              <w:rPr>
                <w:vertAlign w:val="superscript"/>
              </w:rPr>
              <w:t>2, 3</w:t>
            </w:r>
          </w:p>
          <w:p w:rsidR="004B4D3A" w:rsidRPr="002F5C23" w:rsidRDefault="00BB6029" w:rsidP="004B4D3A">
            <w:pPr>
              <w:numPr>
                <w:ilvl w:val="0"/>
                <w:numId w:val="3"/>
              </w:numPr>
              <w:tabs>
                <w:tab w:val="clear" w:pos="567"/>
              </w:tabs>
              <w:spacing w:line="240" w:lineRule="auto"/>
            </w:pPr>
            <w:r>
              <w:t>T</w:t>
            </w:r>
            <w:r w:rsidRPr="008D2129">
              <w:t>rombóz</w:t>
            </w:r>
            <w:r>
              <w:t>a</w:t>
            </w:r>
            <w:r w:rsidRPr="0035135B">
              <w:rPr>
                <w:vertAlign w:val="superscript"/>
              </w:rPr>
              <w:t>2</w:t>
            </w:r>
          </w:p>
        </w:tc>
      </w:tr>
    </w:tbl>
    <w:p w:rsidR="004B4D3A" w:rsidRPr="000E6EEB" w:rsidRDefault="004B4D3A" w:rsidP="004B4D3A">
      <w:pPr>
        <w:rPr>
          <w:lang w:eastAsia="cs-CZ"/>
        </w:rPr>
      </w:pPr>
      <w:r w:rsidRPr="000E6EEB">
        <w:rPr>
          <w:vertAlign w:val="superscript"/>
        </w:rPr>
        <w:t xml:space="preserve">1 </w:t>
      </w:r>
      <w:r w:rsidRPr="008D2129">
        <w:t>mohou být způsobeny</w:t>
      </w:r>
      <w:r w:rsidRPr="000E6EEB">
        <w:t xml:space="preserve"> </w:t>
      </w:r>
      <w:r w:rsidRPr="001B0ADA">
        <w:t>rychlým</w:t>
      </w:r>
      <w:r w:rsidRPr="008D2129">
        <w:t xml:space="preserve"> intravenózní</w:t>
      </w:r>
      <w:r>
        <w:t>m</w:t>
      </w:r>
      <w:r w:rsidRPr="008D2129">
        <w:t xml:space="preserve"> podání</w:t>
      </w:r>
      <w:r>
        <w:t>m</w:t>
      </w:r>
      <w:r w:rsidRPr="008D2129">
        <w:t xml:space="preserve"> hyper</w:t>
      </w:r>
      <w:r>
        <w:t>tonick</w:t>
      </w:r>
      <w:r w:rsidR="00BB6029">
        <w:t>ého</w:t>
      </w:r>
      <w:r>
        <w:t xml:space="preserve"> roztok</w:t>
      </w:r>
      <w:r w:rsidR="00BB6029">
        <w:t>u</w:t>
      </w:r>
      <w:r>
        <w:t xml:space="preserve"> (30 až 50 %) </w:t>
      </w:r>
      <w:r w:rsidRPr="008D2129">
        <w:t>v naléhavých případech</w:t>
      </w:r>
    </w:p>
    <w:p w:rsidR="004B4D3A" w:rsidRPr="00A54B04" w:rsidRDefault="004B4D3A" w:rsidP="004B4D3A">
      <w:pPr>
        <w:rPr>
          <w:rFonts w:eastAsia="Calibri"/>
          <w:szCs w:val="22"/>
        </w:rPr>
      </w:pPr>
      <w:r w:rsidRPr="00A54B04">
        <w:rPr>
          <w:vertAlign w:val="superscript"/>
        </w:rPr>
        <w:t>2</w:t>
      </w:r>
      <w:r w:rsidRPr="00A54B04">
        <w:t xml:space="preserve"> </w:t>
      </w:r>
      <w:r w:rsidRPr="008D2129">
        <w:rPr>
          <w:bCs/>
          <w:iCs/>
          <w:szCs w:val="22"/>
        </w:rPr>
        <w:t>mohou být způsobeny</w:t>
      </w:r>
      <w:r w:rsidRPr="00A54B04">
        <w:t xml:space="preserve"> </w:t>
      </w:r>
      <w:r w:rsidRPr="001B0ADA">
        <w:t>nesprávnou</w:t>
      </w:r>
      <w:r>
        <w:t xml:space="preserve"> </w:t>
      </w:r>
      <w:r w:rsidRPr="001B0ADA">
        <w:t>technikou</w:t>
      </w:r>
      <w:r>
        <w:t xml:space="preserve"> infuze</w:t>
      </w:r>
    </w:p>
    <w:p w:rsidR="004B4D3A" w:rsidRPr="00A54B04" w:rsidRDefault="004B4D3A" w:rsidP="004B4D3A">
      <w:r w:rsidRPr="00A54B04">
        <w:rPr>
          <w:vertAlign w:val="superscript"/>
        </w:rPr>
        <w:t>3</w:t>
      </w:r>
      <w:r w:rsidRPr="00A54B04">
        <w:t xml:space="preserve"> </w:t>
      </w:r>
      <w:r w:rsidR="00BB6029">
        <w:t xml:space="preserve">mohou </w:t>
      </w:r>
      <w:r w:rsidRPr="00A54B04">
        <w:t xml:space="preserve">se rozšířit z místa </w:t>
      </w:r>
      <w:r w:rsidR="00BB6029">
        <w:t>injekčního podání</w:t>
      </w:r>
    </w:p>
    <w:p w:rsidR="0024022C" w:rsidRPr="00005650" w:rsidRDefault="0024022C" w:rsidP="0024022C">
      <w:pPr>
        <w:tabs>
          <w:tab w:val="clear" w:pos="567"/>
        </w:tabs>
        <w:spacing w:line="240" w:lineRule="auto"/>
        <w:rPr>
          <w:szCs w:val="22"/>
        </w:rPr>
      </w:pPr>
    </w:p>
    <w:p w:rsidR="0024022C" w:rsidRDefault="001206E4" w:rsidP="0024022C">
      <w:pPr>
        <w:tabs>
          <w:tab w:val="clear" w:pos="567"/>
        </w:tabs>
        <w:spacing w:line="240" w:lineRule="auto"/>
        <w:rPr>
          <w:szCs w:val="22"/>
        </w:rPr>
      </w:pPr>
      <w:r>
        <w:t>Pokud se objeví nežádoucí reakce, musí být infuze zastavena.</w:t>
      </w:r>
    </w:p>
    <w:p w:rsidR="0024022C" w:rsidRPr="00474C50" w:rsidRDefault="0024022C" w:rsidP="0024022C">
      <w:pPr>
        <w:tabs>
          <w:tab w:val="clear" w:pos="567"/>
        </w:tabs>
        <w:spacing w:line="240" w:lineRule="auto"/>
        <w:rPr>
          <w:szCs w:val="22"/>
        </w:rPr>
      </w:pPr>
    </w:p>
    <w:p w:rsidR="00BB6029" w:rsidRPr="00967D66" w:rsidRDefault="001206E4" w:rsidP="00BB6029">
      <w:bookmarkStart w:id="1" w:name="_Hlk112672025"/>
      <w:r>
        <w:t xml:space="preserve">Hlášení nežádoucích účinků je důležité. Umožňuje nepřetržité sledování bezpečnosti </w:t>
      </w:r>
      <w:r w:rsidR="00E20C8E" w:rsidRPr="00B41D57">
        <w:t>přípravku</w:t>
      </w:r>
      <w:r w:rsidR="004F1622">
        <w:t>.</w:t>
      </w:r>
      <w:r w:rsidR="00E20C8E" w:rsidRPr="00E20C8E">
        <w:t xml:space="preserve"> Jestliže zaznamenáte jakékoliv nežádoucí účinky, a to i takové, které nejsou uvedeny v této příbalové informaci, nebo si myslíte, že léčivo nefunguje, obraťte se prosím nejprve na svého veterinárního lékaře. </w:t>
      </w:r>
      <w:r w:rsidR="00E20C8E" w:rsidRPr="003A6ABE">
        <w:t>Nežádoucí účinky můžete hlásit také držitel</w:t>
      </w:r>
      <w:r w:rsidR="00864F1D">
        <w:t>i</w:t>
      </w:r>
      <w:r w:rsidR="00E20C8E" w:rsidRPr="003A6ABE">
        <w:t xml:space="preserve"> rozhodnutí o registraci</w:t>
      </w:r>
      <w:r w:rsidR="00864F1D">
        <w:t>,</w:t>
      </w:r>
      <w:r w:rsidR="003A6ABE">
        <w:t xml:space="preserve"> </w:t>
      </w:r>
      <w:r w:rsidR="00E20C8E" w:rsidRPr="003A6ABE">
        <w:t>místní</w:t>
      </w:r>
      <w:r w:rsidR="00864F1D">
        <w:t>mu</w:t>
      </w:r>
      <w:r w:rsidR="00E20C8E" w:rsidRPr="003A6ABE">
        <w:t xml:space="preserve"> zástupc</w:t>
      </w:r>
      <w:r w:rsidR="00864F1D">
        <w:t>i</w:t>
      </w:r>
      <w:r w:rsidR="00E20C8E" w:rsidRPr="003A6ABE">
        <w:t xml:space="preserve"> držitele rozhodnutí o registraci s využitím kontaktních údajů uvedených na konci této příbalové informace nebo prostřednictvím národního systému hlášení nežádoucích účinků </w:t>
      </w:r>
      <w:r w:rsidR="00864F1D">
        <w:t xml:space="preserve">a to </w:t>
      </w:r>
      <w:r w:rsidR="00BB6029" w:rsidRPr="00967D66">
        <w:t xml:space="preserve">prostřednictvím formuláře na webových stránkách ÚSKVBL elektronicky, nebo také přímo na adresu: Ústav pro státní kontrolu veterinárních biopreparátů a léčiv, Hudcova </w:t>
      </w:r>
      <w:r w:rsidR="002017DE">
        <w:t>232/</w:t>
      </w:r>
      <w:r w:rsidR="00BB6029" w:rsidRPr="00967D66">
        <w:t xml:space="preserve">56a, 621 00 Brno, Mail: </w:t>
      </w:r>
      <w:hyperlink r:id="rId7" w:history="1">
        <w:r w:rsidR="00BB6029" w:rsidRPr="00967D66">
          <w:rPr>
            <w:rStyle w:val="Hypertextovodkaz"/>
          </w:rPr>
          <w:t>adr@uskvbl.cz</w:t>
        </w:r>
      </w:hyperlink>
      <w:r w:rsidR="00864F1D">
        <w:t>.</w:t>
      </w:r>
      <w:r w:rsidR="00BB6029" w:rsidRPr="00967D66">
        <w:t xml:space="preserve"> Webové stránky: </w:t>
      </w:r>
      <w:hyperlink r:id="rId8" w:history="1">
        <w:r w:rsidR="00BB6029" w:rsidRPr="00967D66">
          <w:rPr>
            <w:rStyle w:val="Hypertextovodkaz"/>
          </w:rPr>
          <w:t>http://www.uskvbl.cz/cs/farmakovigilance</w:t>
        </w:r>
      </w:hyperlink>
    </w:p>
    <w:bookmarkEnd w:id="1"/>
    <w:p w:rsidR="005A2E68" w:rsidRPr="00474C50" w:rsidRDefault="005A2E68" w:rsidP="005A2E68">
      <w:pPr>
        <w:tabs>
          <w:tab w:val="clear" w:pos="567"/>
        </w:tabs>
        <w:spacing w:line="240" w:lineRule="auto"/>
        <w:rPr>
          <w:iCs/>
          <w:szCs w:val="22"/>
        </w:rPr>
      </w:pPr>
    </w:p>
    <w:p w:rsidR="005A2E68" w:rsidRDefault="001206E4" w:rsidP="005A2E6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Dávkování pro každý druh, cesty a způsob podání</w:t>
      </w:r>
    </w:p>
    <w:p w:rsidR="00074F14" w:rsidRDefault="00074F14" w:rsidP="005A2E68">
      <w:pPr>
        <w:tabs>
          <w:tab w:val="clear" w:pos="567"/>
        </w:tabs>
        <w:spacing w:line="240" w:lineRule="auto"/>
        <w:rPr>
          <w:b/>
          <w:szCs w:val="22"/>
        </w:rPr>
      </w:pPr>
    </w:p>
    <w:p w:rsidR="00074F14" w:rsidRPr="00005650" w:rsidRDefault="001206E4" w:rsidP="00074F14">
      <w:pPr>
        <w:tabs>
          <w:tab w:val="clear" w:pos="567"/>
        </w:tabs>
        <w:spacing w:line="240" w:lineRule="auto"/>
        <w:rPr>
          <w:szCs w:val="22"/>
        </w:rPr>
      </w:pPr>
      <w:r>
        <w:t>Intravenózní podávání</w:t>
      </w:r>
    </w:p>
    <w:p w:rsidR="00074F14" w:rsidRPr="00005650" w:rsidRDefault="00074F14" w:rsidP="00074F14">
      <w:pPr>
        <w:tabs>
          <w:tab w:val="clear" w:pos="567"/>
        </w:tabs>
        <w:spacing w:line="240" w:lineRule="auto"/>
        <w:rPr>
          <w:szCs w:val="22"/>
        </w:rPr>
      </w:pPr>
    </w:p>
    <w:p w:rsidR="00074F14" w:rsidRDefault="001206E4" w:rsidP="00074F14">
      <w:pPr>
        <w:tabs>
          <w:tab w:val="clear" w:pos="567"/>
        </w:tabs>
        <w:spacing w:line="240" w:lineRule="auto"/>
        <w:rPr>
          <w:szCs w:val="22"/>
        </w:rPr>
      </w:pPr>
      <w:r>
        <w:t xml:space="preserve">Podávejte pomalu intravenózní infuzí, přičemž nepřekračujte rychlost infuze 0,5 ml/kg </w:t>
      </w:r>
      <w:r w:rsidR="00742D16">
        <w:t xml:space="preserve">živé </w:t>
      </w:r>
      <w:r>
        <w:t>hmotnosti/h</w:t>
      </w:r>
      <w:r w:rsidR="00742D16">
        <w:t>od</w:t>
      </w:r>
      <w:r>
        <w:t>.</w:t>
      </w:r>
    </w:p>
    <w:p w:rsidR="00074F14" w:rsidRPr="00005650" w:rsidRDefault="00074F14" w:rsidP="00074F14">
      <w:pPr>
        <w:tabs>
          <w:tab w:val="clear" w:pos="567"/>
        </w:tabs>
        <w:spacing w:line="240" w:lineRule="auto"/>
        <w:rPr>
          <w:szCs w:val="22"/>
        </w:rPr>
      </w:pPr>
    </w:p>
    <w:p w:rsidR="00074F14" w:rsidRPr="00005650" w:rsidRDefault="001206E4" w:rsidP="00074F14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r>
        <w:t>Skot a koně: 200-400 g glukózy (což odpovídá 500-1000 ml veterinárního léčivého přípravku /zvíře) každých 24 h</w:t>
      </w:r>
      <w:r w:rsidR="00742D16">
        <w:t>od</w:t>
      </w:r>
      <w:r>
        <w:t>.</w:t>
      </w:r>
    </w:p>
    <w:p w:rsidR="00074F14" w:rsidRPr="00005650" w:rsidRDefault="001206E4" w:rsidP="00074F14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r>
        <w:t>Ovce, kozy a prasata: 50-100 g glukózy (což odpovídá 125-250 ml veterinárního léčivého přípravku /zvíře) každých 24 h</w:t>
      </w:r>
      <w:r w:rsidR="00742D16">
        <w:t>od</w:t>
      </w:r>
      <w:r>
        <w:t>.</w:t>
      </w:r>
    </w:p>
    <w:p w:rsidR="00074F14" w:rsidRPr="00005650" w:rsidRDefault="001206E4" w:rsidP="00074F14">
      <w:pPr>
        <w:tabs>
          <w:tab w:val="clear" w:pos="567"/>
        </w:tabs>
        <w:spacing w:line="240" w:lineRule="auto"/>
        <w:ind w:left="567"/>
        <w:rPr>
          <w:szCs w:val="22"/>
        </w:rPr>
      </w:pPr>
      <w:r>
        <w:t>Hypoglykémie selat: 0,75 g glukózy (odpovídá 1,87 ml veterinárního léčivého přípravku /zvíře), každých 4-6 h</w:t>
      </w:r>
      <w:r w:rsidR="00742D16">
        <w:t>od</w:t>
      </w:r>
      <w:r>
        <w:t>.</w:t>
      </w:r>
    </w:p>
    <w:p w:rsidR="00074F14" w:rsidRPr="00005650" w:rsidRDefault="001206E4" w:rsidP="00074F14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207"/>
        <w:rPr>
          <w:szCs w:val="22"/>
        </w:rPr>
      </w:pPr>
      <w:r>
        <w:t>Psi a kočky: 5-25 g glukózy (odpovídá 12,5-62,5 ml veterinárního léčivého přípravku</w:t>
      </w:r>
    </w:p>
    <w:p w:rsidR="00074F14" w:rsidRPr="00005650" w:rsidRDefault="001206E4" w:rsidP="00074F14">
      <w:pPr>
        <w:tabs>
          <w:tab w:val="clear" w:pos="567"/>
        </w:tabs>
        <w:spacing w:line="240" w:lineRule="auto"/>
        <w:ind w:firstLine="567"/>
        <w:rPr>
          <w:szCs w:val="22"/>
        </w:rPr>
      </w:pPr>
      <w:r>
        <w:t>/zvíře), každých 24 h</w:t>
      </w:r>
      <w:r w:rsidR="00742D16">
        <w:t>od</w:t>
      </w:r>
      <w:r>
        <w:t>.</w:t>
      </w:r>
    </w:p>
    <w:p w:rsidR="00074F14" w:rsidRPr="00005650" w:rsidRDefault="00074F14" w:rsidP="00074F14">
      <w:pPr>
        <w:tabs>
          <w:tab w:val="clear" w:pos="567"/>
        </w:tabs>
        <w:spacing w:line="240" w:lineRule="auto"/>
        <w:rPr>
          <w:szCs w:val="22"/>
        </w:rPr>
      </w:pPr>
    </w:p>
    <w:p w:rsidR="00074F14" w:rsidRPr="00474C50" w:rsidRDefault="001206E4" w:rsidP="00074F14">
      <w:pPr>
        <w:tabs>
          <w:tab w:val="clear" w:pos="567"/>
        </w:tabs>
        <w:spacing w:line="240" w:lineRule="auto"/>
        <w:rPr>
          <w:szCs w:val="22"/>
        </w:rPr>
      </w:pPr>
      <w:r>
        <w:t>Dávky se podávají v závislosti na hmotnosti zvířete a požadovaném přísunu energie a jsou rozděleny do několika denních infuzí.</w:t>
      </w:r>
    </w:p>
    <w:p w:rsidR="006203FC" w:rsidRPr="00474C50" w:rsidRDefault="006203FC" w:rsidP="009438B3">
      <w:pPr>
        <w:tabs>
          <w:tab w:val="clear" w:pos="567"/>
        </w:tabs>
        <w:spacing w:line="240" w:lineRule="auto"/>
        <w:rPr>
          <w:szCs w:val="22"/>
        </w:rPr>
      </w:pPr>
    </w:p>
    <w:p w:rsidR="005A2E68" w:rsidRPr="00474C50" w:rsidRDefault="001206E4" w:rsidP="005A2E68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Informace o správném podávání</w:t>
      </w:r>
    </w:p>
    <w:p w:rsidR="00025279" w:rsidRDefault="00025279" w:rsidP="00025279">
      <w:pPr>
        <w:tabs>
          <w:tab w:val="clear" w:pos="567"/>
        </w:tabs>
        <w:spacing w:line="240" w:lineRule="auto"/>
        <w:rPr>
          <w:szCs w:val="22"/>
        </w:rPr>
      </w:pPr>
    </w:p>
    <w:p w:rsidR="00025279" w:rsidRPr="00005650" w:rsidRDefault="001206E4" w:rsidP="00025279">
      <w:pPr>
        <w:tabs>
          <w:tab w:val="clear" w:pos="567"/>
        </w:tabs>
        <w:spacing w:line="240" w:lineRule="auto"/>
        <w:rPr>
          <w:szCs w:val="22"/>
        </w:rPr>
      </w:pPr>
      <w:r>
        <w:t>Pokyny pro správné podávání:</w:t>
      </w:r>
    </w:p>
    <w:p w:rsidR="00025279" w:rsidRPr="00005650" w:rsidRDefault="001206E4" w:rsidP="00025279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>
        <w:t>Po celou dobu podávání dodržujte aseptická opatření.</w:t>
      </w:r>
    </w:p>
    <w:p w:rsidR="00025279" w:rsidRPr="00005650" w:rsidRDefault="001206E4" w:rsidP="00025279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>
        <w:t>Nepodávejte subkutánní cestou.</w:t>
      </w:r>
    </w:p>
    <w:p w:rsidR="00025279" w:rsidRPr="00005650" w:rsidRDefault="001206E4" w:rsidP="00025279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>
        <w:t>Intravenózní tekutiny by měly být před podáním zahřáty na tělesnou teplotu.</w:t>
      </w:r>
    </w:p>
    <w:p w:rsidR="00025279" w:rsidRPr="00005650" w:rsidRDefault="001206E4" w:rsidP="00025279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>
        <w:t>Pouze pro jednorázové použití.</w:t>
      </w:r>
    </w:p>
    <w:p w:rsidR="002E7FD8" w:rsidRPr="004B4D3A" w:rsidRDefault="001206E4" w:rsidP="002E1D22">
      <w:pPr>
        <w:numPr>
          <w:ilvl w:val="0"/>
          <w:numId w:val="2"/>
        </w:numPr>
        <w:tabs>
          <w:tab w:val="clear" w:pos="567"/>
        </w:tabs>
        <w:spacing w:line="240" w:lineRule="auto"/>
        <w:rPr>
          <w:szCs w:val="22"/>
        </w:rPr>
      </w:pPr>
      <w:r w:rsidRPr="004B4D3A">
        <w:t>Roztok nepoužívejte, pokud není čirý, bez viditelných částic a nádoba je poškozená.</w:t>
      </w:r>
    </w:p>
    <w:p w:rsidR="00025279" w:rsidRDefault="00025279" w:rsidP="00025279">
      <w:pPr>
        <w:tabs>
          <w:tab w:val="clear" w:pos="567"/>
        </w:tabs>
        <w:spacing w:line="240" w:lineRule="auto"/>
        <w:rPr>
          <w:szCs w:val="22"/>
        </w:rPr>
      </w:pPr>
    </w:p>
    <w:p w:rsidR="00025279" w:rsidRPr="00474C50" w:rsidRDefault="001206E4" w:rsidP="00025279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lhůty</w:t>
      </w:r>
    </w:p>
    <w:p w:rsidR="00025279" w:rsidRDefault="00025279" w:rsidP="00025279">
      <w:pPr>
        <w:tabs>
          <w:tab w:val="clear" w:pos="567"/>
        </w:tabs>
        <w:spacing w:line="240" w:lineRule="auto"/>
        <w:rPr>
          <w:szCs w:val="22"/>
        </w:rPr>
      </w:pPr>
    </w:p>
    <w:p w:rsidR="005A2E68" w:rsidRDefault="001206E4" w:rsidP="005A2E68">
      <w:pPr>
        <w:tabs>
          <w:tab w:val="clear" w:pos="567"/>
        </w:tabs>
        <w:spacing w:line="240" w:lineRule="auto"/>
        <w:rPr>
          <w:szCs w:val="22"/>
        </w:rPr>
      </w:pPr>
      <w:r>
        <w:t xml:space="preserve">Skot, koně, ovce a kozy: </w:t>
      </w:r>
    </w:p>
    <w:p w:rsidR="005A2E68" w:rsidRPr="008F1769" w:rsidRDefault="001206E4" w:rsidP="005A2E68">
      <w:pPr>
        <w:tabs>
          <w:tab w:val="clear" w:pos="567"/>
        </w:tabs>
        <w:spacing w:line="240" w:lineRule="auto"/>
        <w:rPr>
          <w:szCs w:val="22"/>
        </w:rPr>
      </w:pPr>
      <w:r>
        <w:t xml:space="preserve">Maso: </w:t>
      </w:r>
      <w:r w:rsidR="00115F3F">
        <w:t>Bez ochranných lhůt.</w:t>
      </w:r>
    </w:p>
    <w:p w:rsidR="005A2E68" w:rsidRPr="00C42697" w:rsidRDefault="001206E4" w:rsidP="005A2E68">
      <w:pPr>
        <w:tabs>
          <w:tab w:val="clear" w:pos="567"/>
        </w:tabs>
        <w:spacing w:line="240" w:lineRule="auto"/>
        <w:rPr>
          <w:szCs w:val="22"/>
        </w:rPr>
      </w:pPr>
      <w:r>
        <w:t xml:space="preserve">Mléko: </w:t>
      </w:r>
      <w:r w:rsidR="00115F3F">
        <w:t>Bez ochranných lhůt.</w:t>
      </w:r>
    </w:p>
    <w:p w:rsidR="005A2E68" w:rsidRDefault="005A2E68" w:rsidP="005A2E68">
      <w:pPr>
        <w:tabs>
          <w:tab w:val="clear" w:pos="567"/>
        </w:tabs>
        <w:spacing w:line="240" w:lineRule="auto"/>
        <w:rPr>
          <w:iCs/>
          <w:szCs w:val="22"/>
        </w:rPr>
      </w:pPr>
    </w:p>
    <w:p w:rsidR="00666C17" w:rsidRDefault="001206E4" w:rsidP="00666C17">
      <w:pPr>
        <w:tabs>
          <w:tab w:val="clear" w:pos="567"/>
        </w:tabs>
        <w:spacing w:line="240" w:lineRule="auto"/>
        <w:rPr>
          <w:szCs w:val="22"/>
        </w:rPr>
      </w:pPr>
      <w:r>
        <w:t xml:space="preserve">Prasata: </w:t>
      </w:r>
    </w:p>
    <w:p w:rsidR="00666C17" w:rsidRPr="008F1769" w:rsidRDefault="001206E4" w:rsidP="00666C17">
      <w:pPr>
        <w:tabs>
          <w:tab w:val="clear" w:pos="567"/>
        </w:tabs>
        <w:spacing w:line="240" w:lineRule="auto"/>
        <w:rPr>
          <w:szCs w:val="22"/>
        </w:rPr>
      </w:pPr>
      <w:r>
        <w:t xml:space="preserve">Maso: </w:t>
      </w:r>
      <w:r w:rsidR="00115F3F">
        <w:t>Bez ochranných lhůt.</w:t>
      </w:r>
    </w:p>
    <w:p w:rsidR="006203FC" w:rsidRPr="00474C50" w:rsidRDefault="006203FC" w:rsidP="005A2E68">
      <w:pPr>
        <w:tabs>
          <w:tab w:val="clear" w:pos="567"/>
        </w:tabs>
        <w:spacing w:line="240" w:lineRule="auto"/>
        <w:rPr>
          <w:iCs/>
          <w:szCs w:val="22"/>
        </w:rPr>
      </w:pPr>
    </w:p>
    <w:p w:rsidR="005A2E68" w:rsidRPr="00474C50" w:rsidRDefault="001206E4" w:rsidP="005A2E68">
      <w:pPr>
        <w:tabs>
          <w:tab w:val="clear" w:pos="567"/>
        </w:tabs>
        <w:spacing w:line="240" w:lineRule="auto"/>
        <w:rPr>
          <w:szCs w:val="22"/>
        </w:rPr>
      </w:pPr>
      <w:bookmarkStart w:id="2" w:name="_Hlk89897895"/>
      <w:r>
        <w:rPr>
          <w:b/>
          <w:highlight w:val="lightGray"/>
        </w:rPr>
        <w:t>11.</w:t>
      </w:r>
      <w:r>
        <w:rPr>
          <w:b/>
        </w:rPr>
        <w:tab/>
        <w:t>Zvláštní opatření pro uchovávání</w:t>
      </w:r>
    </w:p>
    <w:bookmarkEnd w:id="2"/>
    <w:p w:rsidR="005A2E68" w:rsidRPr="00474C50" w:rsidRDefault="005A2E68" w:rsidP="005A2E6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5A2E68" w:rsidRPr="00DF65FC" w:rsidRDefault="001206E4" w:rsidP="005A2E6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mimo dohled a dosah dětí.</w:t>
      </w:r>
    </w:p>
    <w:p w:rsidR="00D75BD6" w:rsidRPr="00DF65FC" w:rsidRDefault="001206E4" w:rsidP="00D75BD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3" w:name="_Hlk89897943"/>
      <w:r>
        <w:t>Tento veterinární léčivý přípravek nevyžaduje žádné zvláštní podmínky uchovávání.</w:t>
      </w:r>
    </w:p>
    <w:p w:rsidR="005A2E68" w:rsidRPr="00DF65FC" w:rsidRDefault="001206E4" w:rsidP="005A2E6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4" w:name="_Hlk89898224"/>
      <w:bookmarkEnd w:id="3"/>
      <w:r>
        <w:t xml:space="preserve">Nepoužívejte tento veterinární léčivý přípravek po uplynutí doby použitelnosti uvedené na etiketě po </w:t>
      </w:r>
      <w:r w:rsidR="0058146C">
        <w:t>Exp</w:t>
      </w:r>
      <w:r>
        <w:t>. Doba použitelnosti končí posledním dnem v uvedeném měsíci.</w:t>
      </w:r>
    </w:p>
    <w:p w:rsidR="00FB6897" w:rsidRDefault="001206E4" w:rsidP="00FB6897">
      <w:pPr>
        <w:tabs>
          <w:tab w:val="clear" w:pos="567"/>
        </w:tabs>
        <w:spacing w:line="240" w:lineRule="auto"/>
        <w:rPr>
          <w:szCs w:val="22"/>
        </w:rPr>
      </w:pPr>
      <w:r>
        <w:t>Doba použitelnosti po prvním otevření vnitřního obalu: spotřebujte ihned.</w:t>
      </w:r>
    </w:p>
    <w:bookmarkEnd w:id="4"/>
    <w:p w:rsidR="00D75BD6" w:rsidRPr="00474C50" w:rsidRDefault="00D75BD6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Default="001206E4" w:rsidP="007D08BA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Zvláštní opatření pro likvidaci</w:t>
      </w:r>
    </w:p>
    <w:p w:rsidR="007D08BA" w:rsidRPr="007D08BA" w:rsidRDefault="007D08BA" w:rsidP="007D08BA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</w:p>
    <w:p w:rsidR="004444DC" w:rsidRDefault="001206E4" w:rsidP="006203FC">
      <w:pPr>
        <w:rPr>
          <w:szCs w:val="22"/>
        </w:rPr>
      </w:pPr>
      <w:r>
        <w:t>Léčivé přípravky se nesmí likvidovat prostřednictvím odpadní vody či</w:t>
      </w:r>
      <w:r w:rsidR="00076818">
        <w:t xml:space="preserve"> domovního odpadu</w:t>
      </w:r>
      <w:r>
        <w:t>.</w:t>
      </w:r>
    </w:p>
    <w:p w:rsidR="006203FC" w:rsidRPr="006203FC" w:rsidRDefault="001206E4" w:rsidP="006203FC">
      <w:pPr>
        <w:rPr>
          <w:szCs w:val="22"/>
        </w:rPr>
      </w:pPr>
      <w:r>
        <w:t>O možnostech likvidace nepotřebných léčivých přípravků se poraďte s vaším veterinárním lékařem.</w:t>
      </w:r>
    </w:p>
    <w:p w:rsidR="006203FC" w:rsidRDefault="001206E4" w:rsidP="006203FC">
      <w:pPr>
        <w:rPr>
          <w:szCs w:val="22"/>
        </w:rPr>
      </w:pPr>
      <w:r>
        <w:t>Tato opatření napomáhají chránit životní prostředí.</w:t>
      </w:r>
    </w:p>
    <w:p w:rsidR="00025279" w:rsidRPr="006203FC" w:rsidRDefault="00025279" w:rsidP="006203FC">
      <w:pPr>
        <w:rPr>
          <w:szCs w:val="22"/>
        </w:rPr>
      </w:pPr>
    </w:p>
    <w:p w:rsidR="00025279" w:rsidRDefault="001206E4" w:rsidP="005A2E68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Klasifikace veterinárních léčivých přípravků</w:t>
      </w:r>
    </w:p>
    <w:p w:rsidR="009438B3" w:rsidRDefault="009438B3" w:rsidP="005A2E68">
      <w:pPr>
        <w:tabs>
          <w:tab w:val="clear" w:pos="567"/>
        </w:tabs>
        <w:spacing w:line="240" w:lineRule="auto"/>
        <w:rPr>
          <w:szCs w:val="22"/>
        </w:rPr>
      </w:pPr>
    </w:p>
    <w:p w:rsidR="00742D16" w:rsidRDefault="00742D16" w:rsidP="00742D16">
      <w:pPr>
        <w:tabs>
          <w:tab w:val="clear" w:pos="567"/>
        </w:tabs>
        <w:spacing w:line="240" w:lineRule="auto"/>
        <w:rPr>
          <w:szCs w:val="22"/>
        </w:rPr>
      </w:pPr>
      <w:r>
        <w:t>Veterinární léčivý přípravek je vydáván pouze na předpis.</w:t>
      </w:r>
    </w:p>
    <w:p w:rsidR="00025279" w:rsidRPr="006203FC" w:rsidRDefault="00025279" w:rsidP="005A2E68">
      <w:pPr>
        <w:tabs>
          <w:tab w:val="clear" w:pos="567"/>
        </w:tabs>
        <w:spacing w:line="240" w:lineRule="auto"/>
        <w:rPr>
          <w:szCs w:val="22"/>
        </w:rPr>
      </w:pPr>
    </w:p>
    <w:p w:rsidR="00025279" w:rsidRDefault="001206E4" w:rsidP="00025279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Registrační čísla a velikosti balení</w:t>
      </w:r>
    </w:p>
    <w:p w:rsidR="00025279" w:rsidRDefault="00025279" w:rsidP="00025279"/>
    <w:p w:rsidR="00FA53BF" w:rsidRDefault="001206E4" w:rsidP="00025279">
      <w:r w:rsidRPr="00A938C0">
        <w:t xml:space="preserve">Reg. č.: </w:t>
      </w:r>
      <w:r w:rsidR="00E657D0">
        <w:t>96/032/</w:t>
      </w:r>
      <w:proofErr w:type="gramStart"/>
      <w:r w:rsidR="00E657D0">
        <w:t>22-C</w:t>
      </w:r>
      <w:proofErr w:type="gramEnd"/>
    </w:p>
    <w:p w:rsidR="00FA53BF" w:rsidRDefault="00FA53BF" w:rsidP="00025279"/>
    <w:p w:rsidR="00025279" w:rsidRDefault="001206E4" w:rsidP="00025279">
      <w:r>
        <w:t>1 l</w:t>
      </w:r>
      <w:r w:rsidR="0058146C">
        <w:t>a</w:t>
      </w:r>
      <w:r>
        <w:t>hev o objemu 500 ml</w:t>
      </w:r>
    </w:p>
    <w:p w:rsidR="00025279" w:rsidRDefault="001206E4" w:rsidP="00025279">
      <w:r>
        <w:t xml:space="preserve">Kartonová krabice obsahující 10 lahví </w:t>
      </w:r>
      <w:r w:rsidR="0058146C">
        <w:t xml:space="preserve">o objemu </w:t>
      </w:r>
      <w:r>
        <w:t>500 ml</w:t>
      </w:r>
    </w:p>
    <w:p w:rsidR="00025279" w:rsidRDefault="00025279" w:rsidP="00025279"/>
    <w:p w:rsidR="00025279" w:rsidRDefault="001206E4" w:rsidP="00025279">
      <w:r>
        <w:t>Na trhu nemusí být všechny velikosti balení.</w:t>
      </w:r>
    </w:p>
    <w:p w:rsidR="005A2E68" w:rsidRPr="00474C50" w:rsidRDefault="005A2E68" w:rsidP="005A2E68">
      <w:pPr>
        <w:tabs>
          <w:tab w:val="clear" w:pos="567"/>
        </w:tabs>
        <w:spacing w:line="240" w:lineRule="auto"/>
        <w:rPr>
          <w:szCs w:val="22"/>
        </w:rPr>
      </w:pPr>
    </w:p>
    <w:p w:rsidR="005A2E68" w:rsidRPr="00474C50" w:rsidRDefault="001206E4" w:rsidP="00FB6897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 xml:space="preserve">Datum poslední revize příbalové informace </w:t>
      </w:r>
    </w:p>
    <w:p w:rsidR="005A2E68" w:rsidRPr="00474C50" w:rsidRDefault="005A2E68" w:rsidP="00FB6897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5A2E68" w:rsidRDefault="001206E4" w:rsidP="005A2E68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2017DE">
        <w:t>6</w:t>
      </w:r>
      <w:r>
        <w:t>/202</w:t>
      </w:r>
      <w:r w:rsidR="00936609">
        <w:t>6</w:t>
      </w:r>
    </w:p>
    <w:p w:rsidR="00AB60BD" w:rsidRDefault="00AB60BD" w:rsidP="005A2E68">
      <w:pPr>
        <w:tabs>
          <w:tab w:val="clear" w:pos="567"/>
        </w:tabs>
        <w:spacing w:line="240" w:lineRule="auto"/>
        <w:rPr>
          <w:szCs w:val="22"/>
        </w:rPr>
      </w:pPr>
    </w:p>
    <w:p w:rsidR="002017DE" w:rsidRDefault="002017DE" w:rsidP="002017DE">
      <w:pPr>
        <w:tabs>
          <w:tab w:val="clear" w:pos="567"/>
        </w:tabs>
        <w:spacing w:line="240" w:lineRule="auto"/>
        <w:rPr>
          <w:szCs w:val="22"/>
        </w:rPr>
      </w:pPr>
      <w:r w:rsidRPr="00D526C2">
        <w:rPr>
          <w:szCs w:val="22"/>
        </w:rPr>
        <w:t>Podrobné informace o tomto veterinárním léčivém přípravku jsou k dispozici v databázi přípravků Unie (</w:t>
      </w:r>
      <w:hyperlink r:id="rId9" w:history="1">
        <w:r w:rsidRPr="00D526C2">
          <w:rPr>
            <w:rStyle w:val="Hypertextovodkaz"/>
            <w:szCs w:val="22"/>
          </w:rPr>
          <w:t>https://medicines.health.europa.eu/veterinary</w:t>
        </w:r>
      </w:hyperlink>
      <w:r w:rsidRPr="00D526C2">
        <w:rPr>
          <w:szCs w:val="22"/>
        </w:rPr>
        <w:t>).</w:t>
      </w:r>
    </w:p>
    <w:p w:rsidR="002017DE" w:rsidRDefault="002017DE" w:rsidP="002017DE">
      <w:pPr>
        <w:tabs>
          <w:tab w:val="clear" w:pos="567"/>
        </w:tabs>
        <w:spacing w:line="240" w:lineRule="auto"/>
        <w:rPr>
          <w:szCs w:val="22"/>
        </w:rPr>
      </w:pPr>
    </w:p>
    <w:p w:rsidR="002017DE" w:rsidRPr="002177D7" w:rsidRDefault="002017DE" w:rsidP="002017DE">
      <w:pPr>
        <w:spacing w:line="240" w:lineRule="auto"/>
        <w:jc w:val="both"/>
      </w:pPr>
      <w:r w:rsidRPr="002177D7">
        <w:t>Podrobné informace o tomto veterinárním léčivém přípravku naleznete také v národní databázi (</w:t>
      </w:r>
      <w:hyperlink r:id="rId10" w:history="1">
        <w:r w:rsidRPr="002177D7">
          <w:rPr>
            <w:rStyle w:val="Hypertextovodkaz"/>
          </w:rPr>
          <w:t>https://www.uskvbl.cz</w:t>
        </w:r>
      </w:hyperlink>
      <w:r w:rsidRPr="002177D7">
        <w:t>).</w:t>
      </w:r>
    </w:p>
    <w:p w:rsidR="00AD22B6" w:rsidRPr="00474C50" w:rsidRDefault="00AD22B6" w:rsidP="005A2E68">
      <w:pPr>
        <w:tabs>
          <w:tab w:val="clear" w:pos="567"/>
        </w:tabs>
        <w:spacing w:line="240" w:lineRule="auto"/>
        <w:rPr>
          <w:szCs w:val="22"/>
        </w:rPr>
      </w:pPr>
      <w:bookmarkStart w:id="5" w:name="_GoBack"/>
      <w:bookmarkEnd w:id="5"/>
    </w:p>
    <w:p w:rsidR="00AD22B6" w:rsidRDefault="001206E4" w:rsidP="00AD22B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Kontaktní údaje</w:t>
      </w:r>
    </w:p>
    <w:p w:rsidR="00AD22B6" w:rsidRDefault="00AD22B6" w:rsidP="00AD22B6">
      <w:pPr>
        <w:tabs>
          <w:tab w:val="clear" w:pos="567"/>
        </w:tabs>
        <w:spacing w:line="240" w:lineRule="auto"/>
        <w:rPr>
          <w:b/>
          <w:szCs w:val="22"/>
        </w:rPr>
      </w:pPr>
    </w:p>
    <w:p w:rsidR="00DE6C93" w:rsidRPr="00DE6C93" w:rsidRDefault="00DE6C93" w:rsidP="00DE6C93">
      <w:pPr>
        <w:rPr>
          <w:iCs/>
          <w:u w:val="single"/>
        </w:rPr>
      </w:pPr>
      <w:bookmarkStart w:id="6" w:name="_Hlk73552578"/>
      <w:r w:rsidRPr="00DE6C93">
        <w:rPr>
          <w:iCs/>
          <w:u w:val="single"/>
        </w:rPr>
        <w:t>Držitel rozhodnutí o registraci a výrobce odpovědný za uvolnění šarže</w:t>
      </w:r>
      <w:r w:rsidRPr="00DE6C93">
        <w:rPr>
          <w:u w:val="single"/>
        </w:rPr>
        <w:t>:</w:t>
      </w:r>
    </w:p>
    <w:p w:rsidR="00DE6C93" w:rsidRPr="00DE6C93" w:rsidRDefault="00DE6C93" w:rsidP="00DE6C93">
      <w:pPr>
        <w:rPr>
          <w:iCs/>
          <w:u w:val="single"/>
        </w:rPr>
      </w:pPr>
    </w:p>
    <w:bookmarkEnd w:id="6"/>
    <w:p w:rsidR="00DE6C93" w:rsidRPr="00DE6C93" w:rsidRDefault="00DE6C93" w:rsidP="00DE6C93">
      <w:pPr>
        <w:rPr>
          <w:u w:val="single"/>
        </w:rPr>
      </w:pPr>
      <w:proofErr w:type="spellStart"/>
      <w:r w:rsidRPr="00DE6C93">
        <w:rPr>
          <w:u w:val="single"/>
        </w:rPr>
        <w:t>Serumwerk</w:t>
      </w:r>
      <w:proofErr w:type="spellEnd"/>
      <w:r w:rsidRPr="00DE6C93">
        <w:rPr>
          <w:u w:val="single"/>
        </w:rPr>
        <w:t xml:space="preserve"> </w:t>
      </w:r>
      <w:proofErr w:type="spellStart"/>
      <w:r w:rsidRPr="00DE6C93">
        <w:rPr>
          <w:u w:val="single"/>
        </w:rPr>
        <w:t>Bernburg</w:t>
      </w:r>
      <w:proofErr w:type="spellEnd"/>
      <w:r w:rsidRPr="00DE6C93">
        <w:rPr>
          <w:u w:val="single"/>
        </w:rPr>
        <w:t xml:space="preserve"> AG</w:t>
      </w:r>
    </w:p>
    <w:p w:rsidR="00DE6C93" w:rsidRPr="00985FBA" w:rsidRDefault="00DE6C93" w:rsidP="00DE6C93">
      <w:proofErr w:type="spellStart"/>
      <w:r w:rsidRPr="00985FBA">
        <w:t>Hallesche</w:t>
      </w:r>
      <w:proofErr w:type="spellEnd"/>
      <w:r w:rsidRPr="00985FBA">
        <w:t xml:space="preserve"> </w:t>
      </w:r>
      <w:proofErr w:type="spellStart"/>
      <w:r w:rsidRPr="00985FBA">
        <w:t>Landstraße</w:t>
      </w:r>
      <w:proofErr w:type="spellEnd"/>
      <w:r w:rsidRPr="00985FBA">
        <w:t xml:space="preserve"> 105 b</w:t>
      </w:r>
    </w:p>
    <w:p w:rsidR="00DE6C93" w:rsidRPr="00985FBA" w:rsidRDefault="00DE6C93" w:rsidP="00DE6C93">
      <w:r w:rsidRPr="00985FBA">
        <w:t xml:space="preserve">06406 </w:t>
      </w:r>
      <w:proofErr w:type="spellStart"/>
      <w:r w:rsidRPr="00985FBA">
        <w:t>Bernburg</w:t>
      </w:r>
      <w:proofErr w:type="spellEnd"/>
    </w:p>
    <w:p w:rsidR="00DE6C93" w:rsidRPr="00DE6C93" w:rsidRDefault="00DE6C93" w:rsidP="00DE6C93">
      <w:pPr>
        <w:rPr>
          <w:u w:val="single"/>
        </w:rPr>
      </w:pPr>
      <w:r w:rsidRPr="00985FBA">
        <w:t>Německo</w:t>
      </w:r>
    </w:p>
    <w:p w:rsidR="00DE6C93" w:rsidRPr="00DE6C93" w:rsidRDefault="00DE6C93" w:rsidP="00DE6C93">
      <w:pPr>
        <w:rPr>
          <w:u w:val="single"/>
        </w:rPr>
      </w:pPr>
    </w:p>
    <w:p w:rsidR="00DE6C93" w:rsidRPr="00DE6C93" w:rsidRDefault="00DE6C93" w:rsidP="00DE6C93">
      <w:pPr>
        <w:rPr>
          <w:u w:val="single"/>
        </w:rPr>
      </w:pPr>
      <w:bookmarkStart w:id="7" w:name="_Hlk73552585"/>
      <w:r w:rsidRPr="00DE6C93">
        <w:rPr>
          <w:u w:val="single"/>
        </w:rPr>
        <w:t>Místní zástupci a kontaktní údaje pro hlášení podezření na nežádoucí účinky:</w:t>
      </w:r>
    </w:p>
    <w:bookmarkEnd w:id="7"/>
    <w:p w:rsidR="00DE6C93" w:rsidRPr="00DE6C93" w:rsidRDefault="00DE6C93" w:rsidP="00DE6C93">
      <w:pPr>
        <w:rPr>
          <w:u w:val="single"/>
        </w:rPr>
      </w:pPr>
    </w:p>
    <w:p w:rsidR="00DE6C93" w:rsidRPr="00985FBA" w:rsidRDefault="00DE6C93" w:rsidP="00DE6C93">
      <w:pPr>
        <w:rPr>
          <w:lang w:val="en-GB"/>
        </w:rPr>
      </w:pPr>
      <w:proofErr w:type="spellStart"/>
      <w:r w:rsidRPr="00985FBA">
        <w:rPr>
          <w:lang w:val="en-GB"/>
        </w:rPr>
        <w:t>Cymedica</w:t>
      </w:r>
      <w:proofErr w:type="spellEnd"/>
      <w:r w:rsidRPr="00985FBA">
        <w:rPr>
          <w:lang w:val="en-GB"/>
        </w:rPr>
        <w:t xml:space="preserve">, </w:t>
      </w:r>
      <w:proofErr w:type="spellStart"/>
      <w:r w:rsidRPr="00985FBA">
        <w:rPr>
          <w:lang w:val="en-GB"/>
        </w:rPr>
        <w:t>spol</w:t>
      </w:r>
      <w:proofErr w:type="spellEnd"/>
      <w:r w:rsidRPr="00985FBA">
        <w:rPr>
          <w:lang w:val="en-GB"/>
        </w:rPr>
        <w:t xml:space="preserve">. s </w:t>
      </w:r>
      <w:proofErr w:type="spellStart"/>
      <w:r w:rsidRPr="00985FBA">
        <w:rPr>
          <w:lang w:val="en-GB"/>
        </w:rPr>
        <w:t>r.o</w:t>
      </w:r>
      <w:proofErr w:type="spellEnd"/>
      <w:r w:rsidRPr="00985FBA">
        <w:rPr>
          <w:lang w:val="en-GB"/>
        </w:rPr>
        <w:t>.</w:t>
      </w:r>
    </w:p>
    <w:p w:rsidR="00DE6C93" w:rsidRPr="00985FBA" w:rsidRDefault="00DE6C93" w:rsidP="00DE6C93">
      <w:pPr>
        <w:rPr>
          <w:lang w:val="en-GB"/>
        </w:rPr>
      </w:pPr>
      <w:r w:rsidRPr="00985FBA">
        <w:rPr>
          <w:lang w:val="en-GB"/>
        </w:rPr>
        <w:t xml:space="preserve">Pod </w:t>
      </w:r>
      <w:proofErr w:type="spellStart"/>
      <w:r w:rsidRPr="00985FBA">
        <w:rPr>
          <w:lang w:val="en-GB"/>
        </w:rPr>
        <w:t>Nádražím</w:t>
      </w:r>
      <w:proofErr w:type="spellEnd"/>
      <w:r w:rsidRPr="00985FBA">
        <w:rPr>
          <w:lang w:val="en-GB"/>
        </w:rPr>
        <w:t xml:space="preserve"> 308/24</w:t>
      </w:r>
    </w:p>
    <w:p w:rsidR="00DE6C93" w:rsidRPr="00985FBA" w:rsidRDefault="00DE6C93" w:rsidP="00DE6C93">
      <w:pPr>
        <w:rPr>
          <w:lang w:val="en-GB"/>
        </w:rPr>
      </w:pPr>
      <w:r w:rsidRPr="00985FBA">
        <w:rPr>
          <w:lang w:val="en-GB"/>
        </w:rPr>
        <w:t xml:space="preserve">CZ 268 01 </w:t>
      </w:r>
      <w:proofErr w:type="spellStart"/>
      <w:r w:rsidRPr="00985FBA">
        <w:rPr>
          <w:lang w:val="en-GB"/>
        </w:rPr>
        <w:t>Hořovice</w:t>
      </w:r>
      <w:proofErr w:type="spellEnd"/>
    </w:p>
    <w:p w:rsidR="00DE6C93" w:rsidRPr="00985FBA" w:rsidRDefault="00DE6C93" w:rsidP="00DE6C93">
      <w:pPr>
        <w:rPr>
          <w:lang w:val="en-GB"/>
        </w:rPr>
      </w:pPr>
      <w:r w:rsidRPr="00985FBA">
        <w:rPr>
          <w:lang w:val="en-GB"/>
        </w:rPr>
        <w:t>Tel: +420 311 706 211</w:t>
      </w:r>
    </w:p>
    <w:p w:rsidR="00DE6C93" w:rsidRPr="00985FBA" w:rsidRDefault="00DE6C93" w:rsidP="00DE6C93">
      <w:pPr>
        <w:rPr>
          <w:bCs/>
          <w:lang w:val="en-GB"/>
        </w:rPr>
      </w:pPr>
      <w:r w:rsidRPr="00985FBA">
        <w:rPr>
          <w:bCs/>
          <w:lang w:val="en-GB"/>
        </w:rPr>
        <w:t xml:space="preserve">E-mail: </w:t>
      </w:r>
      <w:hyperlink r:id="rId11" w:history="1">
        <w:r w:rsidRPr="00985FBA">
          <w:rPr>
            <w:rStyle w:val="Hypertextovodkaz"/>
            <w:bCs/>
            <w:u w:val="none"/>
            <w:lang w:val="en-GB"/>
          </w:rPr>
          <w:t>farmakovigilance@cymedica.com</w:t>
        </w:r>
      </w:hyperlink>
    </w:p>
    <w:p w:rsidR="00DE6C93" w:rsidRPr="00DE6C93" w:rsidRDefault="00DE6C93" w:rsidP="00DE6C93">
      <w:pPr>
        <w:rPr>
          <w:u w:val="single"/>
        </w:rPr>
      </w:pPr>
    </w:p>
    <w:p w:rsidR="00DE6C93" w:rsidRPr="00DE6C93" w:rsidRDefault="00DE6C93" w:rsidP="00DE6C93">
      <w:pPr>
        <w:rPr>
          <w:u w:val="single"/>
        </w:rPr>
      </w:pPr>
      <w:r w:rsidRPr="00DE6C93">
        <w:rPr>
          <w:u w:val="single"/>
        </w:rPr>
        <w:t>Pokud chcete získat informace o tomto veterinárním léčivém přípravku, kontaktujte prosím příslušného místního zástupce držitele rozhodnutí o registraci.</w:t>
      </w:r>
    </w:p>
    <w:p w:rsidR="00DE6C93" w:rsidRPr="00DE6C93" w:rsidRDefault="00DE6C93" w:rsidP="00DE6C93">
      <w:pPr>
        <w:rPr>
          <w:u w:val="single"/>
        </w:rPr>
      </w:pPr>
    </w:p>
    <w:p w:rsidR="003A6ABE" w:rsidRDefault="003A6ABE" w:rsidP="005A2E68">
      <w:pPr>
        <w:tabs>
          <w:tab w:val="clear" w:pos="567"/>
        </w:tabs>
        <w:spacing w:line="240" w:lineRule="auto"/>
      </w:pPr>
    </w:p>
    <w:p w:rsidR="003A6ABE" w:rsidRPr="00474C50" w:rsidRDefault="003A6ABE" w:rsidP="005A2E68">
      <w:pPr>
        <w:tabs>
          <w:tab w:val="clear" w:pos="567"/>
        </w:tabs>
        <w:spacing w:line="240" w:lineRule="auto"/>
        <w:rPr>
          <w:szCs w:val="22"/>
        </w:rPr>
      </w:pPr>
    </w:p>
    <w:p w:rsidR="00936609" w:rsidRDefault="00936609" w:rsidP="00985FBA">
      <w:pPr>
        <w:tabs>
          <w:tab w:val="clear" w:pos="567"/>
        </w:tabs>
        <w:spacing w:line="240" w:lineRule="auto"/>
      </w:pPr>
    </w:p>
    <w:sectPr w:rsidR="00936609" w:rsidSect="00293583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CED" w:rsidRDefault="002D6CED">
      <w:pPr>
        <w:spacing w:line="240" w:lineRule="auto"/>
      </w:pPr>
      <w:r>
        <w:separator/>
      </w:r>
    </w:p>
  </w:endnote>
  <w:endnote w:type="continuationSeparator" w:id="0">
    <w:p w:rsidR="002D6CED" w:rsidRDefault="002D6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83" w:rsidRPr="00B94A1B" w:rsidRDefault="001206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94A1B">
      <w:rPr>
        <w:rFonts w:ascii="Times New Roman" w:hAnsi="Times New Roman"/>
      </w:rPr>
      <w:fldChar w:fldCharType="begin"/>
    </w:r>
    <w:r w:rsidRPr="00B94A1B">
      <w:rPr>
        <w:rFonts w:ascii="Times New Roman" w:hAnsi="Times New Roman"/>
      </w:rPr>
      <w:instrText xml:space="preserve"> PAGE  \* MERGEFORMAT </w:instrText>
    </w:r>
    <w:r w:rsidRPr="00B94A1B">
      <w:rPr>
        <w:rFonts w:ascii="Times New Roman" w:hAnsi="Times New Roman"/>
      </w:rPr>
      <w:fldChar w:fldCharType="separate"/>
    </w:r>
    <w:r w:rsidR="00A938C0">
      <w:rPr>
        <w:rFonts w:ascii="Times New Roman" w:hAnsi="Times New Roman"/>
        <w:noProof/>
      </w:rPr>
      <w:t>5</w:t>
    </w:r>
    <w:r w:rsidRPr="00B94A1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83" w:rsidRDefault="001206E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CED" w:rsidRDefault="002D6CED">
      <w:pPr>
        <w:spacing w:line="240" w:lineRule="auto"/>
      </w:pPr>
      <w:r>
        <w:separator/>
      </w:r>
    </w:p>
  </w:footnote>
  <w:footnote w:type="continuationSeparator" w:id="0">
    <w:p w:rsidR="002D6CED" w:rsidRDefault="002D6C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4E6" w:rsidRDefault="004D64E6" w:rsidP="004D64E6">
    <w:pPr>
      <w:pStyle w:val="wordsection1"/>
      <w:spacing w:before="0" w:beforeAutospacing="0" w:after="0" w:afterAutospacing="0"/>
      <w:rPr>
        <w:rFonts w:ascii="Calibri" w:hAnsi="Calibri" w:cs="Calibri"/>
        <w:sz w:val="22"/>
        <w:szCs w:val="22"/>
        <w:lang w:eastAsia="en-US"/>
      </w:rPr>
    </w:pPr>
    <w:r>
      <w:rPr>
        <w:lang w:eastAsia="en-US"/>
      </w:rPr>
      <w:t xml:space="preserve">  </w:t>
    </w:r>
  </w:p>
  <w:p w:rsidR="004D64E6" w:rsidRDefault="004D64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1B62"/>
    <w:multiLevelType w:val="hybridMultilevel"/>
    <w:tmpl w:val="9EC42D02"/>
    <w:lvl w:ilvl="0" w:tplc="70B8AEF8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E7ABC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E871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4E1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A18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DA2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8A0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25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CC9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B5959"/>
    <w:multiLevelType w:val="hybridMultilevel"/>
    <w:tmpl w:val="89A2B2AC"/>
    <w:lvl w:ilvl="0" w:tplc="CBA62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C604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2EFF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68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00D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C4A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2C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0E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26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7581A"/>
    <w:multiLevelType w:val="hybridMultilevel"/>
    <w:tmpl w:val="0C7E77B0"/>
    <w:lvl w:ilvl="0" w:tplc="1E2016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68"/>
    <w:rsid w:val="0000166A"/>
    <w:rsid w:val="00005650"/>
    <w:rsid w:val="00007FB7"/>
    <w:rsid w:val="000129B1"/>
    <w:rsid w:val="0002351F"/>
    <w:rsid w:val="00025279"/>
    <w:rsid w:val="00030DED"/>
    <w:rsid w:val="00064360"/>
    <w:rsid w:val="00074F14"/>
    <w:rsid w:val="00076818"/>
    <w:rsid w:val="000A0CD6"/>
    <w:rsid w:val="000B3FA4"/>
    <w:rsid w:val="000C2F5F"/>
    <w:rsid w:val="000F32B4"/>
    <w:rsid w:val="00102380"/>
    <w:rsid w:val="00115F3F"/>
    <w:rsid w:val="001206E4"/>
    <w:rsid w:val="00120A53"/>
    <w:rsid w:val="00125637"/>
    <w:rsid w:val="001324AF"/>
    <w:rsid w:val="001349A3"/>
    <w:rsid w:val="00145123"/>
    <w:rsid w:val="001470D7"/>
    <w:rsid w:val="00166053"/>
    <w:rsid w:val="00171247"/>
    <w:rsid w:val="001857B2"/>
    <w:rsid w:val="001B7384"/>
    <w:rsid w:val="001D3BC5"/>
    <w:rsid w:val="001E0407"/>
    <w:rsid w:val="002017DE"/>
    <w:rsid w:val="0024022C"/>
    <w:rsid w:val="00252116"/>
    <w:rsid w:val="00276941"/>
    <w:rsid w:val="002901BE"/>
    <w:rsid w:val="00293583"/>
    <w:rsid w:val="002B10D2"/>
    <w:rsid w:val="002B1738"/>
    <w:rsid w:val="002C254F"/>
    <w:rsid w:val="002D2205"/>
    <w:rsid w:val="002D6CED"/>
    <w:rsid w:val="002E1D22"/>
    <w:rsid w:val="002E7720"/>
    <w:rsid w:val="002E7FD8"/>
    <w:rsid w:val="002F600E"/>
    <w:rsid w:val="003176D0"/>
    <w:rsid w:val="0034300E"/>
    <w:rsid w:val="00355FCF"/>
    <w:rsid w:val="00374249"/>
    <w:rsid w:val="00386CD0"/>
    <w:rsid w:val="003A6ABE"/>
    <w:rsid w:val="003D2546"/>
    <w:rsid w:val="003E3CB3"/>
    <w:rsid w:val="003F0A40"/>
    <w:rsid w:val="003F5B20"/>
    <w:rsid w:val="00422134"/>
    <w:rsid w:val="004227F8"/>
    <w:rsid w:val="00440C60"/>
    <w:rsid w:val="004444DC"/>
    <w:rsid w:val="00445896"/>
    <w:rsid w:val="00472BC5"/>
    <w:rsid w:val="00474C50"/>
    <w:rsid w:val="00494D49"/>
    <w:rsid w:val="0049787D"/>
    <w:rsid w:val="004A5584"/>
    <w:rsid w:val="004B3ACF"/>
    <w:rsid w:val="004B43C5"/>
    <w:rsid w:val="004B4D3A"/>
    <w:rsid w:val="004D57CB"/>
    <w:rsid w:val="004D64E6"/>
    <w:rsid w:val="004F1622"/>
    <w:rsid w:val="00505085"/>
    <w:rsid w:val="00505A82"/>
    <w:rsid w:val="00534E5C"/>
    <w:rsid w:val="0054309E"/>
    <w:rsid w:val="0055095A"/>
    <w:rsid w:val="0058146C"/>
    <w:rsid w:val="00591566"/>
    <w:rsid w:val="0059597F"/>
    <w:rsid w:val="005A2E68"/>
    <w:rsid w:val="005A40E4"/>
    <w:rsid w:val="005B3918"/>
    <w:rsid w:val="005D3DCB"/>
    <w:rsid w:val="005D5B5B"/>
    <w:rsid w:val="0060014E"/>
    <w:rsid w:val="00601585"/>
    <w:rsid w:val="0061595A"/>
    <w:rsid w:val="006203FC"/>
    <w:rsid w:val="00647C4C"/>
    <w:rsid w:val="00654AFA"/>
    <w:rsid w:val="00666C17"/>
    <w:rsid w:val="0067128E"/>
    <w:rsid w:val="0067724E"/>
    <w:rsid w:val="00685ED1"/>
    <w:rsid w:val="00690008"/>
    <w:rsid w:val="00697E87"/>
    <w:rsid w:val="006A08C2"/>
    <w:rsid w:val="006C52AE"/>
    <w:rsid w:val="006D29E5"/>
    <w:rsid w:val="006E2C0A"/>
    <w:rsid w:val="006F1376"/>
    <w:rsid w:val="00706D86"/>
    <w:rsid w:val="0071259F"/>
    <w:rsid w:val="00742D16"/>
    <w:rsid w:val="00765DBF"/>
    <w:rsid w:val="0077003E"/>
    <w:rsid w:val="00780B9B"/>
    <w:rsid w:val="007B510E"/>
    <w:rsid w:val="007D08BA"/>
    <w:rsid w:val="007D6519"/>
    <w:rsid w:val="007F4931"/>
    <w:rsid w:val="008023F8"/>
    <w:rsid w:val="0086010D"/>
    <w:rsid w:val="00864F1D"/>
    <w:rsid w:val="0088397B"/>
    <w:rsid w:val="00887E93"/>
    <w:rsid w:val="00890898"/>
    <w:rsid w:val="008E6351"/>
    <w:rsid w:val="008F1769"/>
    <w:rsid w:val="00900DD1"/>
    <w:rsid w:val="009120C1"/>
    <w:rsid w:val="00914163"/>
    <w:rsid w:val="00914410"/>
    <w:rsid w:val="00936609"/>
    <w:rsid w:val="009438B3"/>
    <w:rsid w:val="00967D66"/>
    <w:rsid w:val="00976395"/>
    <w:rsid w:val="00985FBA"/>
    <w:rsid w:val="009A14AF"/>
    <w:rsid w:val="009A7CCD"/>
    <w:rsid w:val="009E03A2"/>
    <w:rsid w:val="009F55C1"/>
    <w:rsid w:val="00A02F9D"/>
    <w:rsid w:val="00A10F91"/>
    <w:rsid w:val="00A31273"/>
    <w:rsid w:val="00A66DD2"/>
    <w:rsid w:val="00A919CC"/>
    <w:rsid w:val="00A938C0"/>
    <w:rsid w:val="00AA22A1"/>
    <w:rsid w:val="00AA7B96"/>
    <w:rsid w:val="00AB0FB3"/>
    <w:rsid w:val="00AB60BD"/>
    <w:rsid w:val="00AD22B6"/>
    <w:rsid w:val="00AD4AC5"/>
    <w:rsid w:val="00AE22B9"/>
    <w:rsid w:val="00AE4DB0"/>
    <w:rsid w:val="00AF33C1"/>
    <w:rsid w:val="00B24D2D"/>
    <w:rsid w:val="00B7692D"/>
    <w:rsid w:val="00B76A81"/>
    <w:rsid w:val="00B91527"/>
    <w:rsid w:val="00B94A1B"/>
    <w:rsid w:val="00BA579D"/>
    <w:rsid w:val="00BA5E2E"/>
    <w:rsid w:val="00BB6029"/>
    <w:rsid w:val="00BC6BB9"/>
    <w:rsid w:val="00BD0255"/>
    <w:rsid w:val="00BD28E3"/>
    <w:rsid w:val="00BD5B14"/>
    <w:rsid w:val="00BE3974"/>
    <w:rsid w:val="00BF2E86"/>
    <w:rsid w:val="00C42697"/>
    <w:rsid w:val="00C95014"/>
    <w:rsid w:val="00CB3438"/>
    <w:rsid w:val="00CC00AA"/>
    <w:rsid w:val="00D75BD6"/>
    <w:rsid w:val="00D84BEF"/>
    <w:rsid w:val="00DA349F"/>
    <w:rsid w:val="00DC3484"/>
    <w:rsid w:val="00DC38D9"/>
    <w:rsid w:val="00DE6C93"/>
    <w:rsid w:val="00DF05DE"/>
    <w:rsid w:val="00DF65FC"/>
    <w:rsid w:val="00E20C8E"/>
    <w:rsid w:val="00E300C0"/>
    <w:rsid w:val="00E43DFC"/>
    <w:rsid w:val="00E53A74"/>
    <w:rsid w:val="00E560A2"/>
    <w:rsid w:val="00E657D0"/>
    <w:rsid w:val="00E76B60"/>
    <w:rsid w:val="00E86CEE"/>
    <w:rsid w:val="00EB19C3"/>
    <w:rsid w:val="00ED7209"/>
    <w:rsid w:val="00EF357E"/>
    <w:rsid w:val="00F05351"/>
    <w:rsid w:val="00F21D2E"/>
    <w:rsid w:val="00F2238D"/>
    <w:rsid w:val="00F341A3"/>
    <w:rsid w:val="00F4243D"/>
    <w:rsid w:val="00F5486D"/>
    <w:rsid w:val="00F60328"/>
    <w:rsid w:val="00F71E18"/>
    <w:rsid w:val="00F723A8"/>
    <w:rsid w:val="00F773EB"/>
    <w:rsid w:val="00F93F33"/>
    <w:rsid w:val="00FA53BF"/>
    <w:rsid w:val="00FB6897"/>
    <w:rsid w:val="00FC20BE"/>
    <w:rsid w:val="00FE2441"/>
    <w:rsid w:val="00FF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A26BE"/>
  <w15:chartTrackingRefBased/>
  <w15:docId w15:val="{7DC51516-9E26-4BB9-BB96-75A0F8B4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2E68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4B4D3A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A2E68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ZhlavChar">
    <w:name w:val="Záhlaví Char"/>
    <w:link w:val="Zhlav"/>
    <w:rsid w:val="005A2E68"/>
    <w:rPr>
      <w:rFonts w:ascii="Helvetica" w:eastAsia="Times New Roman" w:hAnsi="Helvetica" w:cs="Times New Roman"/>
      <w:sz w:val="20"/>
      <w:szCs w:val="20"/>
      <w:lang w:val="cs-CZ"/>
    </w:rPr>
  </w:style>
  <w:style w:type="paragraph" w:styleId="Zpat">
    <w:name w:val="footer"/>
    <w:basedOn w:val="Normln"/>
    <w:link w:val="ZpatChar"/>
    <w:rsid w:val="005A2E68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link w:val="Zpat"/>
    <w:rsid w:val="005A2E68"/>
    <w:rPr>
      <w:rFonts w:ascii="Helvetica" w:eastAsia="Times New Roman" w:hAnsi="Helvetica" w:cs="Times New Roman"/>
      <w:sz w:val="16"/>
      <w:szCs w:val="20"/>
      <w:lang w:val="cs-CZ"/>
    </w:rPr>
  </w:style>
  <w:style w:type="character" w:styleId="Hypertextovodkaz">
    <w:name w:val="Hyperlink"/>
    <w:rsid w:val="005A2E68"/>
    <w:rPr>
      <w:color w:val="0000FF"/>
      <w:u w:val="single"/>
    </w:rPr>
  </w:style>
  <w:style w:type="character" w:styleId="Odkaznakoment">
    <w:name w:val="annotation reference"/>
    <w:semiHidden/>
    <w:rsid w:val="005A2E68"/>
    <w:rPr>
      <w:sz w:val="16"/>
    </w:rPr>
  </w:style>
  <w:style w:type="paragraph" w:styleId="Textkomente">
    <w:name w:val="annotation text"/>
    <w:basedOn w:val="Normln"/>
    <w:link w:val="TextkomenteChar"/>
    <w:semiHidden/>
    <w:rsid w:val="005A2E68"/>
    <w:rPr>
      <w:sz w:val="20"/>
    </w:rPr>
  </w:style>
  <w:style w:type="character" w:customStyle="1" w:styleId="TextkomenteChar">
    <w:name w:val="Text komentáře Char"/>
    <w:link w:val="Textkomente"/>
    <w:semiHidden/>
    <w:rsid w:val="005A2E68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2E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A2E68"/>
    <w:rPr>
      <w:rFonts w:ascii="Tahoma" w:eastAsia="Times New Roman" w:hAnsi="Tahoma" w:cs="Tahoma"/>
      <w:sz w:val="16"/>
      <w:szCs w:val="16"/>
      <w:lang w:val="cs-CZ"/>
    </w:rPr>
  </w:style>
  <w:style w:type="paragraph" w:styleId="Revize">
    <w:name w:val="Revision"/>
    <w:hidden/>
    <w:uiPriority w:val="99"/>
    <w:semiHidden/>
    <w:rsid w:val="003E3CB3"/>
    <w:rPr>
      <w:rFonts w:ascii="Times New Roman" w:eastAsia="Times New Roman" w:hAnsi="Times New Roman"/>
      <w:sz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C8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0C8E"/>
    <w:rPr>
      <w:rFonts w:ascii="Times New Roman" w:eastAsia="Times New Roman" w:hAnsi="Times New Roman" w:cs="Times New Roman"/>
      <w:b/>
      <w:bCs/>
      <w:sz w:val="20"/>
      <w:szCs w:val="20"/>
      <w:lang w:val="cs-CZ" w:eastAsia="en-US"/>
    </w:rPr>
  </w:style>
  <w:style w:type="character" w:customStyle="1" w:styleId="Nadpis2Char">
    <w:name w:val="Nadpis 2 Char"/>
    <w:link w:val="Nadpis2"/>
    <w:rsid w:val="004B4D3A"/>
    <w:rPr>
      <w:rFonts w:ascii="Helvetica" w:eastAsia="Times New Roman" w:hAnsi="Helvetica"/>
      <w:b/>
      <w:i/>
      <w:sz w:val="24"/>
      <w:lang w:val="cs-CZ" w:eastAsia="en-US"/>
    </w:rPr>
  </w:style>
  <w:style w:type="paragraph" w:customStyle="1" w:styleId="wordsection1">
    <w:name w:val="wordsection1"/>
    <w:basedOn w:val="Normln"/>
    <w:uiPriority w:val="99"/>
    <w:rsid w:val="004D64E6"/>
    <w:pPr>
      <w:tabs>
        <w:tab w:val="clear" w:pos="567"/>
      </w:tabs>
      <w:spacing w:before="100" w:beforeAutospacing="1" w:after="100" w:afterAutospacing="1" w:line="240" w:lineRule="auto"/>
    </w:pPr>
    <w:rPr>
      <w:rFonts w:eastAsia="Calibri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E6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rmakovigilance@cymedica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skvb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1107</Words>
  <Characters>6536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7628</CharactersWithSpaces>
  <SharedDoc>false</SharedDoc>
  <HLinks>
    <vt:vector size="12" baseType="variant">
      <vt:variant>
        <vt:i4>6160414</vt:i4>
      </vt:variant>
      <vt:variant>
        <vt:i4>3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Joachimi</dc:creator>
  <cp:keywords/>
  <cp:lastModifiedBy>Neugebauerová Kateřina</cp:lastModifiedBy>
  <cp:revision>10</cp:revision>
  <cp:lastPrinted>2026-06-11T10:53:00Z</cp:lastPrinted>
  <dcterms:created xsi:type="dcterms:W3CDTF">2026-05-13T07:44:00Z</dcterms:created>
  <dcterms:modified xsi:type="dcterms:W3CDTF">2026-06-11T10:53:00Z</dcterms:modified>
</cp:coreProperties>
</file>