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0A7E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2B963AF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3D31F73B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0E6774A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47B1817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1580BC3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9C816C7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C1E8916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A7E050F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6F94D1C9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3B40F4D8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5FDE0CE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37A60C9D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783EAB56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17400D50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F4B6E56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BD49C87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685C53B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54EC2846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2D1D5FB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470ABBC6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1D2809D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39CBDD0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2F2A7F93" w14:textId="77777777" w:rsidR="009A1A5E" w:rsidRPr="00D34925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p w14:paraId="0C6CFEEA" w14:textId="5E06C4FF" w:rsidR="009A1A5E" w:rsidRPr="00D34925" w:rsidRDefault="00CA4740" w:rsidP="00CA4740">
      <w:pPr>
        <w:pStyle w:val="Style3"/>
        <w:numPr>
          <w:ilvl w:val="0"/>
          <w:numId w:val="0"/>
        </w:numPr>
      </w:pPr>
      <w:r>
        <w:t xml:space="preserve">B. </w:t>
      </w:r>
      <w:r w:rsidR="00D34925" w:rsidRPr="00D34925">
        <w:t>PŘÍBALOVÁ INFORMACE</w:t>
      </w:r>
    </w:p>
    <w:p w14:paraId="4C7C1D67" w14:textId="77777777" w:rsidR="009A1A5E" w:rsidRPr="00E6792C" w:rsidRDefault="00D34925" w:rsidP="00D34925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D34925">
        <w:br w:type="page"/>
      </w:r>
      <w:r w:rsidRPr="00E6792C">
        <w:rPr>
          <w:b/>
          <w:szCs w:val="22"/>
        </w:rPr>
        <w:lastRenderedPageBreak/>
        <w:t>PŘÍBALOVÁ INFORMACE</w:t>
      </w:r>
    </w:p>
    <w:p w14:paraId="5B52A4B5" w14:textId="77777777" w:rsidR="00CC2BFB" w:rsidRPr="00E6792C" w:rsidRDefault="00CC2BFB" w:rsidP="00CC2BFB">
      <w:pPr>
        <w:pStyle w:val="Zkladntext"/>
      </w:pPr>
    </w:p>
    <w:p w14:paraId="79EDC5A9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C4DB28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1.</w:t>
      </w:r>
      <w:r w:rsidRPr="00E6792C">
        <w:rPr>
          <w:rFonts w:asciiTheme="majorBidi" w:hAnsiTheme="majorBidi" w:cstheme="majorBidi"/>
        </w:rPr>
        <w:tab/>
        <w:t>Název veterinárního léčivého přípravku</w:t>
      </w:r>
    </w:p>
    <w:p w14:paraId="6818639F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AB2BFA7" w14:textId="77777777" w:rsidR="009A1A5E" w:rsidRPr="00E6792C" w:rsidRDefault="00D34925" w:rsidP="00D34925">
      <w:pPr>
        <w:pStyle w:val="Zkladntext"/>
        <w:ind w:right="148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TROXXAN 100 mg/ml injekční roztok pro skot, prasata a ovce</w:t>
      </w:r>
    </w:p>
    <w:p w14:paraId="066F2AEF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CECE51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5CDDBCF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2.</w:t>
      </w:r>
      <w:r w:rsidRPr="00E6792C">
        <w:rPr>
          <w:rFonts w:asciiTheme="majorBidi" w:hAnsiTheme="majorBidi" w:cstheme="majorBidi"/>
        </w:rPr>
        <w:tab/>
        <w:t>Složení</w:t>
      </w:r>
    </w:p>
    <w:p w14:paraId="65765AB4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882A8AD" w14:textId="6CE1D5DD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E6792C">
        <w:rPr>
          <w:rFonts w:asciiTheme="majorBidi" w:hAnsiTheme="majorBidi" w:cstheme="majorBidi"/>
          <w:iCs/>
          <w:szCs w:val="22"/>
        </w:rPr>
        <w:t>Každý ml obsahuje:</w:t>
      </w:r>
    </w:p>
    <w:p w14:paraId="178D9CF0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2ECA5D7C" w14:textId="028FBBB5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iCs/>
          <w:szCs w:val="22"/>
        </w:rPr>
      </w:pPr>
      <w:r w:rsidRPr="00E6792C">
        <w:rPr>
          <w:rFonts w:asciiTheme="majorBidi" w:hAnsiTheme="majorBidi" w:cstheme="majorBidi"/>
          <w:b/>
          <w:bCs/>
          <w:iCs/>
          <w:szCs w:val="22"/>
        </w:rPr>
        <w:t>Léčivé látky:</w:t>
      </w:r>
    </w:p>
    <w:p w14:paraId="24711DAA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proofErr w:type="spellStart"/>
      <w:r w:rsidRPr="00E6792C">
        <w:rPr>
          <w:rFonts w:asciiTheme="majorBidi" w:hAnsiTheme="majorBidi" w:cstheme="majorBidi"/>
          <w:iCs/>
          <w:szCs w:val="22"/>
        </w:rPr>
        <w:t>Tulathromycinum</w:t>
      </w:r>
      <w:proofErr w:type="spellEnd"/>
      <w:r w:rsidRPr="00E6792C">
        <w:rPr>
          <w:rFonts w:asciiTheme="majorBidi" w:hAnsiTheme="majorBidi" w:cstheme="majorBidi"/>
          <w:iCs/>
          <w:szCs w:val="22"/>
        </w:rPr>
        <w:tab/>
        <w:t>100 mg</w:t>
      </w:r>
    </w:p>
    <w:p w14:paraId="228BBE67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66143F5F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iCs/>
          <w:szCs w:val="22"/>
        </w:rPr>
      </w:pPr>
      <w:r w:rsidRPr="00E6792C">
        <w:rPr>
          <w:rFonts w:asciiTheme="majorBidi" w:hAnsiTheme="majorBidi" w:cstheme="majorBidi"/>
          <w:b/>
          <w:bCs/>
          <w:iCs/>
          <w:szCs w:val="22"/>
        </w:rPr>
        <w:t>Pomocné látky:</w:t>
      </w:r>
    </w:p>
    <w:p w14:paraId="31D00411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proofErr w:type="spellStart"/>
      <w:r w:rsidRPr="00E6792C">
        <w:rPr>
          <w:rFonts w:asciiTheme="majorBidi" w:hAnsiTheme="majorBidi" w:cstheme="majorBidi"/>
          <w:iCs/>
          <w:szCs w:val="22"/>
        </w:rPr>
        <w:t>Thioglycerol</w:t>
      </w:r>
      <w:proofErr w:type="spellEnd"/>
      <w:r w:rsidRPr="00E6792C">
        <w:rPr>
          <w:rFonts w:asciiTheme="majorBidi" w:hAnsiTheme="majorBidi" w:cstheme="majorBidi"/>
          <w:iCs/>
          <w:szCs w:val="22"/>
        </w:rPr>
        <w:tab/>
        <w:t>5 mg</w:t>
      </w:r>
    </w:p>
    <w:p w14:paraId="1438D0E0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62B1ECE7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E6792C">
        <w:rPr>
          <w:rFonts w:asciiTheme="majorBidi" w:hAnsiTheme="majorBidi" w:cstheme="majorBidi"/>
          <w:iCs/>
          <w:szCs w:val="22"/>
        </w:rPr>
        <w:t>Čirý bezbarvý až světle žlutý roztok, bez viditelných částic.</w:t>
      </w:r>
    </w:p>
    <w:p w14:paraId="5EDA375A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48A64F0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4F44F1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3.</w:t>
      </w:r>
      <w:r w:rsidRPr="00E6792C">
        <w:rPr>
          <w:rFonts w:asciiTheme="majorBidi" w:hAnsiTheme="majorBidi" w:cstheme="majorBidi"/>
        </w:rPr>
        <w:tab/>
        <w:t>Cílové druhy zvířat</w:t>
      </w:r>
    </w:p>
    <w:p w14:paraId="0814D833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2B6DFBD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Skot, prasata a ovce.</w:t>
      </w:r>
    </w:p>
    <w:p w14:paraId="5CB22CE0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7077B3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ACDE34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4.</w:t>
      </w:r>
      <w:r w:rsidRPr="00E6792C">
        <w:rPr>
          <w:rFonts w:asciiTheme="majorBidi" w:hAnsiTheme="majorBidi" w:cstheme="majorBidi"/>
        </w:rPr>
        <w:tab/>
        <w:t>Indikace pro použití</w:t>
      </w:r>
    </w:p>
    <w:p w14:paraId="0DD53202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/>
          <w:szCs w:val="22"/>
        </w:rPr>
      </w:pPr>
    </w:p>
    <w:p w14:paraId="46EC2448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Skot</w:t>
      </w:r>
    </w:p>
    <w:p w14:paraId="6C38C8C7" w14:textId="0C547EE6" w:rsidR="009A1A5E" w:rsidRPr="00E6792C" w:rsidRDefault="00D34925" w:rsidP="00D34925">
      <w:pPr>
        <w:spacing w:line="240" w:lineRule="auto"/>
        <w:ind w:right="106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Léčba a </w:t>
      </w:r>
      <w:proofErr w:type="spellStart"/>
      <w:r w:rsidRPr="00E6792C">
        <w:rPr>
          <w:rFonts w:asciiTheme="majorBidi" w:hAnsiTheme="majorBidi" w:cstheme="majorBidi"/>
          <w:szCs w:val="22"/>
        </w:rPr>
        <w:t>metafylaxe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bovinní respirační choroby (BRD) spojené s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Mannheimia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haemolytica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Pasteurella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multocida</w:t>
      </w:r>
      <w:r w:rsidRPr="00E6792C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Histophilus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somni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 xml:space="preserve">a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Mycoplasma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bovis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 xml:space="preserve">citlivými </w:t>
      </w:r>
      <w:r w:rsidR="00D20F5E" w:rsidRPr="00E6792C">
        <w:rPr>
          <w:rFonts w:asciiTheme="majorBidi" w:hAnsiTheme="majorBidi" w:cstheme="majorBidi"/>
          <w:szCs w:val="22"/>
        </w:rPr>
        <w:t>k</w:t>
      </w:r>
      <w:r w:rsidRPr="00E6792C">
        <w:rPr>
          <w:rFonts w:asciiTheme="majorBidi" w:hAnsiTheme="majorBidi" w:cstheme="majorBidi"/>
          <w:szCs w:val="22"/>
        </w:rPr>
        <w:t> </w:t>
      </w:r>
      <w:proofErr w:type="spellStart"/>
      <w:r w:rsidRPr="00E6792C">
        <w:rPr>
          <w:rFonts w:asciiTheme="majorBidi" w:hAnsiTheme="majorBidi" w:cstheme="majorBidi"/>
          <w:szCs w:val="22"/>
        </w:rPr>
        <w:t>tulathromycin</w:t>
      </w:r>
      <w:r w:rsidR="00D20F5E" w:rsidRPr="00E6792C">
        <w:rPr>
          <w:rFonts w:asciiTheme="majorBidi" w:hAnsiTheme="majorBidi" w:cstheme="majorBidi"/>
          <w:szCs w:val="22"/>
        </w:rPr>
        <w:t>u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. </w:t>
      </w:r>
      <w:r w:rsidR="00D20F5E" w:rsidRPr="00E6792C">
        <w:t xml:space="preserve"> Před použitím veterinárního léčivého přípravku musí být ve skupině stanovena přítomnost onemocnění.</w:t>
      </w:r>
    </w:p>
    <w:p w14:paraId="597B6657" w14:textId="77777777" w:rsidR="009A1A5E" w:rsidRPr="00E6792C" w:rsidRDefault="009A1A5E" w:rsidP="00D34925">
      <w:pPr>
        <w:spacing w:line="240" w:lineRule="auto"/>
        <w:ind w:right="106"/>
        <w:rPr>
          <w:rFonts w:asciiTheme="majorBidi" w:hAnsiTheme="majorBidi" w:cstheme="majorBidi"/>
          <w:szCs w:val="22"/>
        </w:rPr>
      </w:pPr>
    </w:p>
    <w:p w14:paraId="6E11EEBF" w14:textId="0DE3E697" w:rsidR="009A1A5E" w:rsidRPr="00E6792C" w:rsidRDefault="00D34925" w:rsidP="00D34925">
      <w:pPr>
        <w:pStyle w:val="Zkladntext"/>
        <w:ind w:right="1097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Léčba infekční bovinní keratokonjunktivitidy (IBK) spojené s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Moraxella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bovis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, citlivými </w:t>
      </w:r>
      <w:r w:rsidR="00D20F5E" w:rsidRPr="00E6792C">
        <w:rPr>
          <w:rFonts w:asciiTheme="majorBidi" w:hAnsiTheme="majorBidi" w:cstheme="majorBidi"/>
          <w:szCs w:val="22"/>
        </w:rPr>
        <w:t>k</w:t>
      </w:r>
      <w:r w:rsidRPr="00E6792C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szCs w:val="22"/>
        </w:rPr>
        <w:t>tulathromycin</w:t>
      </w:r>
      <w:r w:rsidR="00D20F5E" w:rsidRPr="00E6792C">
        <w:rPr>
          <w:rFonts w:asciiTheme="majorBidi" w:hAnsiTheme="majorBidi" w:cstheme="majorBidi"/>
          <w:szCs w:val="22"/>
        </w:rPr>
        <w:t>u</w:t>
      </w:r>
      <w:proofErr w:type="spellEnd"/>
      <w:r w:rsidRPr="00E6792C">
        <w:rPr>
          <w:rFonts w:asciiTheme="majorBidi" w:hAnsiTheme="majorBidi" w:cstheme="majorBidi"/>
          <w:szCs w:val="22"/>
        </w:rPr>
        <w:t>.</w:t>
      </w:r>
    </w:p>
    <w:p w14:paraId="4100F8BE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5D536577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Prasata</w:t>
      </w:r>
    </w:p>
    <w:p w14:paraId="63687B44" w14:textId="7752D1FD" w:rsidR="009A1A5E" w:rsidRPr="00E6792C" w:rsidRDefault="00D34925" w:rsidP="00D34925">
      <w:pPr>
        <w:spacing w:line="240" w:lineRule="auto"/>
        <w:ind w:right="106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Léčba a </w:t>
      </w:r>
      <w:proofErr w:type="spellStart"/>
      <w:r w:rsidRPr="00E6792C">
        <w:rPr>
          <w:rFonts w:asciiTheme="majorBidi" w:hAnsiTheme="majorBidi" w:cstheme="majorBidi"/>
          <w:szCs w:val="22"/>
        </w:rPr>
        <w:t>metafylaxe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respiračního onemocnění prasat (SRD) spojeného s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Actinobacillus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pleuropneumoniae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Pasteurella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multocida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Mycoplasma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hyopneumoniae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Haemophilus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parasuis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>a 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Bordetella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bronchiseptica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 xml:space="preserve">citlivými na </w:t>
      </w:r>
      <w:proofErr w:type="spellStart"/>
      <w:r w:rsidRPr="00E6792C">
        <w:rPr>
          <w:rFonts w:asciiTheme="majorBidi" w:hAnsiTheme="majorBidi" w:cstheme="majorBidi"/>
          <w:szCs w:val="22"/>
        </w:rPr>
        <w:t>tulathromycin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. </w:t>
      </w:r>
      <w:r w:rsidR="00D20F5E" w:rsidRPr="00E6792C">
        <w:t xml:space="preserve">Před použitím veterinárního léčivého přípravku musí být ve skupině stanovena přítomnost onemocnění. </w:t>
      </w:r>
      <w:r w:rsidRPr="00E6792C">
        <w:rPr>
          <w:rFonts w:asciiTheme="majorBidi" w:hAnsiTheme="majorBidi" w:cstheme="majorBidi"/>
          <w:szCs w:val="22"/>
        </w:rPr>
        <w:t>Tento veterinární léčivý přípravek by se měl použít pouze v případě, když se u prasat očekává propuknutí onemocnění během 2–3 dnů.</w:t>
      </w:r>
    </w:p>
    <w:p w14:paraId="3A4DD544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  <w:u w:val="single"/>
        </w:rPr>
      </w:pPr>
    </w:p>
    <w:p w14:paraId="56FB6B51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Ovce</w:t>
      </w:r>
    </w:p>
    <w:p w14:paraId="0650E58F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Léčba počáteční fáze infekční </w:t>
      </w:r>
      <w:proofErr w:type="spellStart"/>
      <w:r w:rsidRPr="00E6792C">
        <w:rPr>
          <w:rFonts w:asciiTheme="majorBidi" w:hAnsiTheme="majorBidi" w:cstheme="majorBidi"/>
          <w:szCs w:val="22"/>
        </w:rPr>
        <w:t>pododermatitidy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(</w:t>
      </w:r>
      <w:proofErr w:type="spellStart"/>
      <w:r w:rsidRPr="00E6792C">
        <w:rPr>
          <w:rFonts w:asciiTheme="majorBidi" w:hAnsiTheme="majorBidi" w:cstheme="majorBidi"/>
          <w:szCs w:val="22"/>
        </w:rPr>
        <w:t>nekrobacilóza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prstů) spojené s virulentním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Dichelobacter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i/>
          <w:szCs w:val="22"/>
        </w:rPr>
        <w:t>nodosus</w:t>
      </w:r>
      <w:proofErr w:type="spellEnd"/>
      <w:r w:rsidRPr="00E6792C">
        <w:rPr>
          <w:rFonts w:asciiTheme="majorBidi" w:hAnsiTheme="majorBidi" w:cstheme="majorBidi"/>
          <w:i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>vyžadující systémovou léčbu.</w:t>
      </w:r>
    </w:p>
    <w:p w14:paraId="68835E56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12C6FCB6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6D98211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5.</w:t>
      </w:r>
      <w:r w:rsidRPr="00E6792C">
        <w:rPr>
          <w:rFonts w:asciiTheme="majorBidi" w:hAnsiTheme="majorBidi" w:cstheme="majorBidi"/>
        </w:rPr>
        <w:tab/>
        <w:t>Kontraindikace</w:t>
      </w:r>
    </w:p>
    <w:p w14:paraId="115FCFF9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/>
          <w:szCs w:val="22"/>
        </w:rPr>
      </w:pPr>
    </w:p>
    <w:p w14:paraId="23BA386F" w14:textId="438A28EB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Nepoužívat v případech přecitlivělosti </w:t>
      </w:r>
      <w:r w:rsidR="00D20F5E" w:rsidRPr="00E6792C">
        <w:rPr>
          <w:rFonts w:asciiTheme="majorBidi" w:hAnsiTheme="majorBidi" w:cstheme="majorBidi"/>
          <w:szCs w:val="22"/>
        </w:rPr>
        <w:t>na</w:t>
      </w:r>
      <w:r w:rsidRPr="00E6792C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E6792C">
        <w:rPr>
          <w:rFonts w:asciiTheme="majorBidi" w:hAnsiTheme="majorBidi" w:cstheme="majorBidi"/>
          <w:szCs w:val="22"/>
        </w:rPr>
        <w:t>makrolidov</w:t>
      </w:r>
      <w:r w:rsidR="00D20F5E" w:rsidRPr="00E6792C">
        <w:rPr>
          <w:rFonts w:asciiTheme="majorBidi" w:hAnsiTheme="majorBidi" w:cstheme="majorBidi"/>
          <w:szCs w:val="22"/>
        </w:rPr>
        <w:t>á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antibiotik</w:t>
      </w:r>
      <w:r w:rsidR="00D20F5E" w:rsidRPr="00E6792C">
        <w:rPr>
          <w:rFonts w:asciiTheme="majorBidi" w:hAnsiTheme="majorBidi" w:cstheme="majorBidi"/>
          <w:szCs w:val="22"/>
        </w:rPr>
        <w:t xml:space="preserve">a </w:t>
      </w:r>
      <w:r w:rsidRPr="00E6792C">
        <w:rPr>
          <w:rFonts w:asciiTheme="majorBidi" w:hAnsiTheme="majorBidi" w:cstheme="majorBidi"/>
          <w:szCs w:val="22"/>
        </w:rPr>
        <w:t>nebo na některou z pomocných látek</w:t>
      </w:r>
    </w:p>
    <w:p w14:paraId="3A13BDE9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22696757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0AE4A53" w14:textId="77777777" w:rsidR="009A1A5E" w:rsidRPr="00E6792C" w:rsidRDefault="00D34925" w:rsidP="00D34925">
      <w:pPr>
        <w:pStyle w:val="Style1"/>
        <w:keepNext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lastRenderedPageBreak/>
        <w:t>6.</w:t>
      </w:r>
      <w:r w:rsidRPr="00E6792C">
        <w:rPr>
          <w:rFonts w:asciiTheme="majorBidi" w:hAnsiTheme="majorBidi" w:cstheme="majorBidi"/>
        </w:rPr>
        <w:tab/>
        <w:t>Zvláštní upozornění</w:t>
      </w:r>
    </w:p>
    <w:p w14:paraId="79662432" w14:textId="77777777" w:rsidR="009A1A5E" w:rsidRPr="00E6792C" w:rsidRDefault="009A1A5E" w:rsidP="00D34925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E878E65" w14:textId="77777777" w:rsidR="009A1A5E" w:rsidRPr="00E6792C" w:rsidRDefault="00D34925" w:rsidP="00D34925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Zvláštní upozornění</w:t>
      </w:r>
      <w:r w:rsidRPr="00E6792C">
        <w:rPr>
          <w:rFonts w:asciiTheme="majorBidi" w:hAnsiTheme="majorBidi" w:cstheme="majorBidi"/>
          <w:szCs w:val="22"/>
        </w:rPr>
        <w:t>:</w:t>
      </w:r>
    </w:p>
    <w:p w14:paraId="116E98D4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  <w:u w:val="single"/>
        </w:rPr>
      </w:pPr>
    </w:p>
    <w:p w14:paraId="5266C078" w14:textId="571D4E6C" w:rsidR="009A1A5E" w:rsidRPr="00E6792C" w:rsidRDefault="00D34925" w:rsidP="00D34925">
      <w:pPr>
        <w:tabs>
          <w:tab w:val="clear" w:pos="567"/>
        </w:tabs>
        <w:spacing w:line="240" w:lineRule="auto"/>
        <w:rPr>
          <w:vanish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Vyskytuje se zkřížená rezistence s jinými </w:t>
      </w:r>
      <w:proofErr w:type="spellStart"/>
      <w:r w:rsidRPr="00E6792C">
        <w:rPr>
          <w:rFonts w:asciiTheme="majorBidi" w:hAnsiTheme="majorBidi" w:cstheme="majorBidi"/>
          <w:szCs w:val="22"/>
        </w:rPr>
        <w:t>makrolidy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. Nepodávat současně s </w:t>
      </w:r>
      <w:proofErr w:type="spellStart"/>
      <w:r w:rsidRPr="00E6792C">
        <w:rPr>
          <w:rFonts w:asciiTheme="majorBidi" w:hAnsiTheme="majorBidi" w:cstheme="majorBidi"/>
          <w:szCs w:val="22"/>
        </w:rPr>
        <w:t>antimikrobiky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s podobným mechanizmem účinku, jako jsou ostatní </w:t>
      </w:r>
      <w:proofErr w:type="spellStart"/>
      <w:r w:rsidRPr="00E6792C">
        <w:rPr>
          <w:rFonts w:asciiTheme="majorBidi" w:hAnsiTheme="majorBidi" w:cstheme="majorBidi"/>
          <w:szCs w:val="22"/>
        </w:rPr>
        <w:t>makrolidy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anebo </w:t>
      </w:r>
      <w:proofErr w:type="spellStart"/>
      <w:r w:rsidRPr="00E6792C">
        <w:rPr>
          <w:rFonts w:asciiTheme="majorBidi" w:hAnsiTheme="majorBidi" w:cstheme="majorBidi"/>
          <w:szCs w:val="22"/>
        </w:rPr>
        <w:t>linkosamidy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. </w:t>
      </w:r>
    </w:p>
    <w:p w14:paraId="4AF2A94A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  <w:u w:val="single"/>
        </w:rPr>
      </w:pPr>
    </w:p>
    <w:p w14:paraId="5A5552B9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Ovce:</w:t>
      </w:r>
    </w:p>
    <w:p w14:paraId="1653710E" w14:textId="1A5669DE" w:rsidR="009A1A5E" w:rsidRPr="00E6792C" w:rsidRDefault="00D34925" w:rsidP="00D34925">
      <w:pPr>
        <w:pStyle w:val="Zkladntext"/>
        <w:ind w:right="201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Účinnost antimikrobní léčby </w:t>
      </w:r>
      <w:proofErr w:type="spellStart"/>
      <w:r w:rsidRPr="00E6792C">
        <w:rPr>
          <w:rFonts w:asciiTheme="majorBidi" w:hAnsiTheme="majorBidi" w:cstheme="majorBidi"/>
          <w:szCs w:val="22"/>
        </w:rPr>
        <w:t>nekrobacilózy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prstů může být snížena různými faktory, jako je vlhké prostředí nebo také nesprávná zoohygiena chovu. Proto by léčba </w:t>
      </w:r>
      <w:proofErr w:type="spellStart"/>
      <w:r w:rsidRPr="00E6792C">
        <w:rPr>
          <w:rFonts w:asciiTheme="majorBidi" w:hAnsiTheme="majorBidi" w:cstheme="majorBidi"/>
          <w:szCs w:val="22"/>
        </w:rPr>
        <w:t>nekrobacilózy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měla být spojena s dalšími opatřeními, např. zajištěním suchého prostředí.</w:t>
      </w:r>
    </w:p>
    <w:p w14:paraId="1A24E481" w14:textId="77777777" w:rsidR="009A1A5E" w:rsidRPr="00E6792C" w:rsidRDefault="009A1A5E" w:rsidP="00D34925">
      <w:pPr>
        <w:pStyle w:val="Zkladntext"/>
        <w:ind w:right="201"/>
        <w:jc w:val="left"/>
        <w:rPr>
          <w:rFonts w:asciiTheme="majorBidi" w:hAnsiTheme="majorBidi" w:cstheme="majorBidi"/>
          <w:szCs w:val="22"/>
        </w:rPr>
      </w:pPr>
    </w:p>
    <w:p w14:paraId="145EE81B" w14:textId="77777777" w:rsidR="009A1A5E" w:rsidRPr="00E6792C" w:rsidRDefault="00D34925" w:rsidP="00D34925">
      <w:pPr>
        <w:pStyle w:val="Zkladntext"/>
        <w:ind w:right="165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Antibiotická léčba benigní </w:t>
      </w:r>
      <w:proofErr w:type="spellStart"/>
      <w:r w:rsidRPr="00E6792C">
        <w:rPr>
          <w:rFonts w:asciiTheme="majorBidi" w:hAnsiTheme="majorBidi" w:cstheme="majorBidi"/>
          <w:szCs w:val="22"/>
        </w:rPr>
        <w:t>nekrobacilózy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prstů se nepovažuje za vhodnou. </w:t>
      </w:r>
      <w:proofErr w:type="spellStart"/>
      <w:r w:rsidRPr="00E6792C">
        <w:rPr>
          <w:rFonts w:asciiTheme="majorBidi" w:hAnsiTheme="majorBidi" w:cstheme="majorBidi"/>
          <w:szCs w:val="22"/>
        </w:rPr>
        <w:t>Tulathromycin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vykazoval omezenou účinnost u ovcí s vážnými klinickými příznaky nebo chronickou </w:t>
      </w:r>
      <w:proofErr w:type="spellStart"/>
      <w:r w:rsidRPr="00E6792C">
        <w:rPr>
          <w:rFonts w:asciiTheme="majorBidi" w:hAnsiTheme="majorBidi" w:cstheme="majorBidi"/>
          <w:szCs w:val="22"/>
        </w:rPr>
        <w:t>nekrobacilózou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</w:t>
      </w:r>
      <w:proofErr w:type="gramStart"/>
      <w:r w:rsidRPr="00E6792C">
        <w:rPr>
          <w:rFonts w:asciiTheme="majorBidi" w:hAnsiTheme="majorBidi" w:cstheme="majorBidi"/>
          <w:szCs w:val="22"/>
        </w:rPr>
        <w:t>prstů</w:t>
      </w:r>
      <w:proofErr w:type="gramEnd"/>
      <w:r w:rsidRPr="00E6792C">
        <w:rPr>
          <w:rFonts w:asciiTheme="majorBidi" w:hAnsiTheme="majorBidi" w:cstheme="majorBidi"/>
          <w:szCs w:val="22"/>
        </w:rPr>
        <w:t xml:space="preserve"> a proto by měl být podáván pouze v počáteční fázi </w:t>
      </w:r>
      <w:proofErr w:type="spellStart"/>
      <w:r w:rsidRPr="00E6792C">
        <w:rPr>
          <w:rFonts w:asciiTheme="majorBidi" w:hAnsiTheme="majorBidi" w:cstheme="majorBidi"/>
          <w:szCs w:val="22"/>
        </w:rPr>
        <w:t>nekrobacilózy</w:t>
      </w:r>
      <w:proofErr w:type="spellEnd"/>
      <w:r w:rsidRPr="00E6792C">
        <w:rPr>
          <w:rFonts w:asciiTheme="majorBidi" w:hAnsiTheme="majorBidi" w:cstheme="majorBidi"/>
          <w:szCs w:val="22"/>
        </w:rPr>
        <w:t>.</w:t>
      </w:r>
    </w:p>
    <w:p w14:paraId="17FB12FA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613B905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Zvláštní opatření pro bezpečné použití u cílových druhů zvířat</w:t>
      </w:r>
      <w:r w:rsidRPr="00E6792C">
        <w:rPr>
          <w:rFonts w:asciiTheme="majorBidi" w:hAnsiTheme="majorBidi" w:cstheme="majorBidi"/>
          <w:szCs w:val="22"/>
        </w:rPr>
        <w:t>:</w:t>
      </w:r>
    </w:p>
    <w:p w14:paraId="0DADB123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5B7147A8" w14:textId="5F30ACB6" w:rsidR="009A1A5E" w:rsidRPr="00E6792C" w:rsidRDefault="00D34925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Použití veterinárního léčivého přípravku by mělo být založeno na výsledku </w:t>
      </w:r>
      <w:r w:rsidR="00D20F5E" w:rsidRPr="00E6792C">
        <w:rPr>
          <w:rFonts w:asciiTheme="majorBidi" w:hAnsiTheme="majorBidi" w:cstheme="majorBidi"/>
          <w:szCs w:val="22"/>
        </w:rPr>
        <w:t>stanovení</w:t>
      </w:r>
      <w:r w:rsidRPr="00E6792C">
        <w:rPr>
          <w:rFonts w:asciiTheme="majorBidi" w:hAnsiTheme="majorBidi" w:cstheme="majorBidi"/>
          <w:szCs w:val="22"/>
        </w:rPr>
        <w:t xml:space="preserve"> citlivosti </w:t>
      </w:r>
      <w:r w:rsidR="00D20F5E" w:rsidRPr="00E6792C">
        <w:rPr>
          <w:rFonts w:asciiTheme="majorBidi" w:hAnsiTheme="majorBidi" w:cstheme="majorBidi"/>
          <w:szCs w:val="22"/>
        </w:rPr>
        <w:t xml:space="preserve">cílového patogenu/cílových patogenů </w:t>
      </w:r>
      <w:r w:rsidRPr="00E6792C">
        <w:rPr>
          <w:rFonts w:asciiTheme="majorBidi" w:hAnsiTheme="majorBidi" w:cstheme="majorBidi"/>
          <w:szCs w:val="22"/>
        </w:rPr>
        <w:t xml:space="preserve">izolovaných ze zvířete. Pokud toto není možné, měla by být léčba založena na místní (na úrovni regionu, farmy) </w:t>
      </w:r>
      <w:proofErr w:type="spellStart"/>
      <w:r w:rsidRPr="00E6792C">
        <w:rPr>
          <w:rFonts w:asciiTheme="majorBidi" w:hAnsiTheme="majorBidi" w:cstheme="majorBidi"/>
          <w:szCs w:val="22"/>
        </w:rPr>
        <w:t>epizootologické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informaci o citlivosti cílov</w:t>
      </w:r>
      <w:r w:rsidR="00D20F5E" w:rsidRPr="00E6792C">
        <w:rPr>
          <w:rFonts w:asciiTheme="majorBidi" w:hAnsiTheme="majorBidi" w:cstheme="majorBidi"/>
          <w:szCs w:val="22"/>
        </w:rPr>
        <w:t>ých</w:t>
      </w:r>
      <w:r w:rsidRPr="00E6792C">
        <w:rPr>
          <w:rFonts w:asciiTheme="majorBidi" w:hAnsiTheme="majorBidi" w:cstheme="majorBidi"/>
          <w:szCs w:val="22"/>
        </w:rPr>
        <w:t xml:space="preserve"> </w:t>
      </w:r>
      <w:r w:rsidR="00D20F5E" w:rsidRPr="00E6792C">
        <w:rPr>
          <w:rFonts w:asciiTheme="majorBidi" w:hAnsiTheme="majorBidi" w:cstheme="majorBidi"/>
          <w:szCs w:val="22"/>
        </w:rPr>
        <w:t>patogenů</w:t>
      </w:r>
      <w:r w:rsidRPr="00E6792C">
        <w:rPr>
          <w:rFonts w:asciiTheme="majorBidi" w:hAnsiTheme="majorBidi" w:cstheme="majorBidi"/>
          <w:szCs w:val="22"/>
        </w:rPr>
        <w:t>.</w:t>
      </w:r>
    </w:p>
    <w:p w14:paraId="23D6DDDC" w14:textId="77777777" w:rsidR="009A1A5E" w:rsidRPr="00E6792C" w:rsidRDefault="009A1A5E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</w:p>
    <w:p w14:paraId="050A14FF" w14:textId="70C512D1" w:rsidR="009A1A5E" w:rsidRPr="00E6792C" w:rsidRDefault="00D34925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Při použití veterinárního léčivého přípravku je nutno vzít v úvahu oficiální, celostátní a místní pravidla antibiotické politiky. </w:t>
      </w:r>
    </w:p>
    <w:p w14:paraId="6ED42678" w14:textId="536FC413" w:rsidR="009A1A5E" w:rsidRPr="00E6792C" w:rsidRDefault="00D34925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Použití </w:t>
      </w:r>
      <w:r w:rsidR="00D20F5E" w:rsidRPr="00E6792C">
        <w:rPr>
          <w:rFonts w:asciiTheme="majorBidi" w:hAnsiTheme="majorBidi" w:cstheme="majorBidi"/>
          <w:szCs w:val="22"/>
        </w:rPr>
        <w:t xml:space="preserve">veterinárního léčivého </w:t>
      </w:r>
      <w:r w:rsidRPr="00E6792C">
        <w:rPr>
          <w:rFonts w:asciiTheme="majorBidi" w:hAnsiTheme="majorBidi" w:cstheme="majorBidi"/>
          <w:szCs w:val="22"/>
        </w:rPr>
        <w:t xml:space="preserve">přípravku, které je odlišné od pokynů uvedených v této příbalové informaci, může zvýšit prevalenci bakterií rezistentních na </w:t>
      </w:r>
      <w:proofErr w:type="spellStart"/>
      <w:r w:rsidRPr="00E6792C">
        <w:rPr>
          <w:rFonts w:asciiTheme="majorBidi" w:hAnsiTheme="majorBidi" w:cstheme="majorBidi"/>
          <w:szCs w:val="22"/>
        </w:rPr>
        <w:t>tulathromycin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a může snížit účinnost léčby jinými </w:t>
      </w:r>
      <w:proofErr w:type="spellStart"/>
      <w:r w:rsidRPr="00E6792C">
        <w:rPr>
          <w:rFonts w:asciiTheme="majorBidi" w:hAnsiTheme="majorBidi" w:cstheme="majorBidi"/>
          <w:szCs w:val="22"/>
        </w:rPr>
        <w:t>makrolidy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E6792C">
        <w:rPr>
          <w:rFonts w:asciiTheme="majorBidi" w:hAnsiTheme="majorBidi" w:cstheme="majorBidi"/>
          <w:szCs w:val="22"/>
        </w:rPr>
        <w:t>linkosamidy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a </w:t>
      </w:r>
      <w:proofErr w:type="spellStart"/>
      <w:r w:rsidRPr="00E6792C">
        <w:rPr>
          <w:rFonts w:asciiTheme="majorBidi" w:hAnsiTheme="majorBidi" w:cstheme="majorBidi"/>
          <w:szCs w:val="22"/>
        </w:rPr>
        <w:t>streptograminy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skupiny B z důvodu možné zkřížené rezistence. </w:t>
      </w:r>
    </w:p>
    <w:p w14:paraId="5BD4AD66" w14:textId="77777777" w:rsidR="009A1A5E" w:rsidRPr="00E6792C" w:rsidRDefault="009A1A5E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</w:p>
    <w:p w14:paraId="090CF9CD" w14:textId="01C1F954" w:rsidR="009A1A5E" w:rsidRPr="00E6792C" w:rsidRDefault="00D34925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Pokud dojde k reakci přecitlivělosti, měla by být </w:t>
      </w:r>
      <w:r w:rsidR="00D20F5E" w:rsidRPr="00E6792C">
        <w:rPr>
          <w:rFonts w:asciiTheme="majorBidi" w:hAnsiTheme="majorBidi" w:cstheme="majorBidi"/>
          <w:szCs w:val="22"/>
        </w:rPr>
        <w:t xml:space="preserve">bezodkladně </w:t>
      </w:r>
      <w:r w:rsidRPr="00E6792C">
        <w:rPr>
          <w:rFonts w:asciiTheme="majorBidi" w:hAnsiTheme="majorBidi" w:cstheme="majorBidi"/>
          <w:szCs w:val="22"/>
        </w:rPr>
        <w:t>podána odpovídající léčba.</w:t>
      </w:r>
    </w:p>
    <w:p w14:paraId="51D7D57C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6025CFBC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Zvláštní opatření pro osobu, která podává veterinární léčivý přípravek zvířatům</w:t>
      </w:r>
      <w:r w:rsidRPr="00E6792C">
        <w:rPr>
          <w:rFonts w:asciiTheme="majorBidi" w:hAnsiTheme="majorBidi" w:cstheme="majorBidi"/>
          <w:szCs w:val="22"/>
        </w:rPr>
        <w:t>:</w:t>
      </w:r>
    </w:p>
    <w:p w14:paraId="6ACF8952" w14:textId="77777777" w:rsidR="009A1A5E" w:rsidRPr="00E6792C" w:rsidRDefault="009A1A5E" w:rsidP="00D34925">
      <w:pPr>
        <w:pStyle w:val="Zkladntext"/>
        <w:ind w:right="273"/>
        <w:jc w:val="left"/>
        <w:rPr>
          <w:rFonts w:asciiTheme="majorBidi" w:hAnsiTheme="majorBidi" w:cstheme="majorBidi"/>
          <w:szCs w:val="22"/>
        </w:rPr>
      </w:pPr>
    </w:p>
    <w:p w14:paraId="36D402A1" w14:textId="19F08892" w:rsidR="009A1A5E" w:rsidRPr="00E6792C" w:rsidRDefault="00D34925" w:rsidP="00D34925">
      <w:pPr>
        <w:pStyle w:val="Zkladntext"/>
        <w:ind w:right="273"/>
        <w:jc w:val="left"/>
        <w:rPr>
          <w:rFonts w:asciiTheme="majorBidi" w:hAnsiTheme="majorBidi" w:cstheme="majorBidi"/>
          <w:szCs w:val="22"/>
        </w:rPr>
      </w:pPr>
      <w:proofErr w:type="spellStart"/>
      <w:r w:rsidRPr="00E6792C">
        <w:rPr>
          <w:rFonts w:asciiTheme="majorBidi" w:hAnsiTheme="majorBidi" w:cstheme="majorBidi"/>
          <w:szCs w:val="22"/>
        </w:rPr>
        <w:t>Tulathromycin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dráždí oči. V případě náhodného kontaktu s</w:t>
      </w:r>
      <w:r w:rsidR="005306BA" w:rsidRPr="00E6792C">
        <w:rPr>
          <w:rFonts w:asciiTheme="majorBidi" w:hAnsiTheme="majorBidi" w:cstheme="majorBidi"/>
          <w:szCs w:val="22"/>
        </w:rPr>
        <w:t> </w:t>
      </w:r>
      <w:r w:rsidRPr="00E6792C">
        <w:rPr>
          <w:rFonts w:asciiTheme="majorBidi" w:hAnsiTheme="majorBidi" w:cstheme="majorBidi"/>
          <w:szCs w:val="22"/>
        </w:rPr>
        <w:t>očima</w:t>
      </w:r>
      <w:r w:rsidR="005306BA" w:rsidRPr="00E6792C">
        <w:rPr>
          <w:rFonts w:asciiTheme="majorBidi" w:hAnsiTheme="majorBidi" w:cstheme="majorBidi"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>je</w:t>
      </w:r>
      <w:r w:rsidR="005306BA" w:rsidRPr="00E6792C">
        <w:rPr>
          <w:rFonts w:asciiTheme="majorBidi" w:hAnsiTheme="majorBidi" w:cstheme="majorBidi"/>
          <w:szCs w:val="22"/>
        </w:rPr>
        <w:t xml:space="preserve"> ihned </w:t>
      </w:r>
      <w:r w:rsidRPr="00E6792C">
        <w:rPr>
          <w:rFonts w:asciiTheme="majorBidi" w:hAnsiTheme="majorBidi" w:cstheme="majorBidi"/>
          <w:szCs w:val="22"/>
        </w:rPr>
        <w:t>vypláchn</w:t>
      </w:r>
      <w:r w:rsidR="005306BA" w:rsidRPr="00E6792C">
        <w:rPr>
          <w:rFonts w:asciiTheme="majorBidi" w:hAnsiTheme="majorBidi" w:cstheme="majorBidi"/>
          <w:szCs w:val="22"/>
        </w:rPr>
        <w:t xml:space="preserve">ěte </w:t>
      </w:r>
      <w:r w:rsidRPr="00E6792C">
        <w:rPr>
          <w:rFonts w:asciiTheme="majorBidi" w:hAnsiTheme="majorBidi" w:cstheme="majorBidi"/>
          <w:szCs w:val="22"/>
        </w:rPr>
        <w:t>čistou vodou.</w:t>
      </w:r>
    </w:p>
    <w:p w14:paraId="7E75AD6E" w14:textId="77777777" w:rsidR="009A1A5E" w:rsidRPr="00E6792C" w:rsidRDefault="009A1A5E" w:rsidP="00D34925">
      <w:pPr>
        <w:pStyle w:val="Zkladntext"/>
        <w:ind w:right="273"/>
        <w:jc w:val="left"/>
        <w:rPr>
          <w:rFonts w:asciiTheme="majorBidi" w:hAnsiTheme="majorBidi" w:cstheme="majorBidi"/>
          <w:szCs w:val="22"/>
        </w:rPr>
      </w:pPr>
    </w:p>
    <w:p w14:paraId="038B5817" w14:textId="32049D02" w:rsidR="009A1A5E" w:rsidRPr="00E6792C" w:rsidRDefault="00D34925" w:rsidP="00D34925">
      <w:pPr>
        <w:pStyle w:val="Zkladntext"/>
        <w:ind w:right="211"/>
        <w:jc w:val="left"/>
        <w:rPr>
          <w:rFonts w:asciiTheme="majorBidi" w:hAnsiTheme="majorBidi" w:cstheme="majorBidi"/>
          <w:szCs w:val="22"/>
        </w:rPr>
      </w:pPr>
      <w:proofErr w:type="spellStart"/>
      <w:r w:rsidRPr="00E6792C">
        <w:rPr>
          <w:rFonts w:asciiTheme="majorBidi" w:hAnsiTheme="majorBidi" w:cstheme="majorBidi"/>
          <w:szCs w:val="22"/>
        </w:rPr>
        <w:t>Tulathromycin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může způsobit senzibilizaci při kontaktu s pokožkou. V případě náhodného kontaktu s pokožkou j</w:t>
      </w:r>
      <w:r w:rsidR="005306BA" w:rsidRPr="00E6792C">
        <w:rPr>
          <w:rFonts w:asciiTheme="majorBidi" w:hAnsiTheme="majorBidi" w:cstheme="majorBidi"/>
          <w:szCs w:val="22"/>
        </w:rPr>
        <w:t xml:space="preserve">i ihned </w:t>
      </w:r>
      <w:r w:rsidRPr="00E6792C">
        <w:rPr>
          <w:rFonts w:asciiTheme="majorBidi" w:hAnsiTheme="majorBidi" w:cstheme="majorBidi"/>
          <w:szCs w:val="22"/>
        </w:rPr>
        <w:t>um</w:t>
      </w:r>
      <w:r w:rsidR="005306BA" w:rsidRPr="00E6792C">
        <w:rPr>
          <w:rFonts w:asciiTheme="majorBidi" w:hAnsiTheme="majorBidi" w:cstheme="majorBidi"/>
          <w:szCs w:val="22"/>
        </w:rPr>
        <w:t xml:space="preserve">yjte </w:t>
      </w:r>
      <w:r w:rsidRPr="00E6792C">
        <w:rPr>
          <w:rFonts w:asciiTheme="majorBidi" w:hAnsiTheme="majorBidi" w:cstheme="majorBidi"/>
          <w:szCs w:val="22"/>
        </w:rPr>
        <w:t>mýdlem a vodou.</w:t>
      </w:r>
    </w:p>
    <w:p w14:paraId="13BF190A" w14:textId="77777777" w:rsidR="009A1A5E" w:rsidRPr="00E6792C" w:rsidRDefault="009A1A5E" w:rsidP="00D34925">
      <w:pPr>
        <w:pStyle w:val="Zkladntext"/>
        <w:ind w:right="211"/>
        <w:jc w:val="left"/>
        <w:rPr>
          <w:rFonts w:asciiTheme="majorBidi" w:hAnsiTheme="majorBidi" w:cstheme="majorBidi"/>
          <w:szCs w:val="22"/>
        </w:rPr>
      </w:pPr>
    </w:p>
    <w:p w14:paraId="25304E54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Po použití si umyjte ruce.</w:t>
      </w:r>
    </w:p>
    <w:p w14:paraId="4939C11C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47B22BC8" w14:textId="69EB32DD" w:rsidR="009A1A5E" w:rsidRPr="00E6792C" w:rsidRDefault="005306BA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t xml:space="preserve">Zabraňte </w:t>
      </w:r>
      <w:r w:rsidR="00444780" w:rsidRPr="00E6792C">
        <w:t xml:space="preserve">náhodnému </w:t>
      </w:r>
      <w:proofErr w:type="spellStart"/>
      <w:r w:rsidRPr="00E6792C">
        <w:t>samopodání</w:t>
      </w:r>
      <w:proofErr w:type="spellEnd"/>
      <w:r w:rsidR="00444780" w:rsidRPr="00E6792C">
        <w:t xml:space="preserve">. </w:t>
      </w:r>
      <w:r w:rsidR="00D34925" w:rsidRPr="00E6792C">
        <w:rPr>
          <w:rFonts w:asciiTheme="majorBidi" w:hAnsiTheme="majorBidi" w:cstheme="majorBidi"/>
          <w:szCs w:val="22"/>
        </w:rPr>
        <w:t xml:space="preserve">V případě náhodného sebepoškození injekčně </w:t>
      </w:r>
      <w:r w:rsidRPr="00E6792C">
        <w:rPr>
          <w:rFonts w:asciiTheme="majorBidi" w:hAnsiTheme="majorBidi" w:cstheme="majorBidi"/>
          <w:szCs w:val="22"/>
        </w:rPr>
        <w:t xml:space="preserve">podaným </w:t>
      </w:r>
      <w:r w:rsidR="00D34925" w:rsidRPr="00E6792C">
        <w:rPr>
          <w:rFonts w:asciiTheme="majorBidi" w:hAnsiTheme="majorBidi" w:cstheme="majorBidi"/>
          <w:szCs w:val="22"/>
        </w:rPr>
        <w:t>přípravkem vyhledejte ihned lékařskou pomoc a ukažte příbalovou informaci nebo etiketu praktickému lékaři.</w:t>
      </w:r>
    </w:p>
    <w:p w14:paraId="194684FB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36671FCD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Březost a laktace</w:t>
      </w:r>
      <w:r w:rsidRPr="00E6792C">
        <w:rPr>
          <w:rFonts w:asciiTheme="majorBidi" w:hAnsiTheme="majorBidi" w:cstheme="majorBidi"/>
          <w:szCs w:val="22"/>
        </w:rPr>
        <w:t>:</w:t>
      </w:r>
    </w:p>
    <w:p w14:paraId="2D3BCC52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6A1A3F40" w14:textId="77777777" w:rsidR="009A1A5E" w:rsidRPr="00E6792C" w:rsidRDefault="00D34925" w:rsidP="00D34925">
      <w:pPr>
        <w:pStyle w:val="Zkladntext"/>
        <w:ind w:right="1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Laboratorní studie na potkanech a králících nepodaly důkaz o teratogenním, </w:t>
      </w:r>
      <w:proofErr w:type="spellStart"/>
      <w:r w:rsidRPr="00E6792C">
        <w:rPr>
          <w:rFonts w:asciiTheme="majorBidi" w:hAnsiTheme="majorBidi" w:cstheme="majorBidi"/>
          <w:szCs w:val="22"/>
        </w:rPr>
        <w:t>fetotoxickém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účinku nebo </w:t>
      </w:r>
      <w:proofErr w:type="spellStart"/>
      <w:r w:rsidRPr="00E6792C">
        <w:rPr>
          <w:rFonts w:asciiTheme="majorBidi" w:hAnsiTheme="majorBidi" w:cstheme="majorBidi"/>
          <w:szCs w:val="22"/>
        </w:rPr>
        <w:t>maternální</w:t>
      </w:r>
      <w:proofErr w:type="spellEnd"/>
      <w:r w:rsidRPr="00E6792C">
        <w:rPr>
          <w:rFonts w:asciiTheme="majorBidi" w:hAnsiTheme="majorBidi" w:cstheme="majorBidi"/>
          <w:szCs w:val="22"/>
        </w:rPr>
        <w:t xml:space="preserve"> toxicitě. Nebyla stanovena bezpečnost veterinárního léčivého přípravku pro použití během březosti a laktace. Použít pouze po zvážení terapeutického prospěchu a rizika příslušným veterinárním lékařem.</w:t>
      </w:r>
    </w:p>
    <w:p w14:paraId="0BF975CF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C294DD4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Interakce s jinými léčivými přípravky a další formy interakce</w:t>
      </w:r>
      <w:r w:rsidRPr="00E6792C">
        <w:rPr>
          <w:rFonts w:asciiTheme="majorBidi" w:hAnsiTheme="majorBidi" w:cstheme="majorBidi"/>
          <w:szCs w:val="22"/>
        </w:rPr>
        <w:t>:</w:t>
      </w:r>
    </w:p>
    <w:p w14:paraId="579BB0BB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0AD7D35F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Nejsou známy.</w:t>
      </w:r>
    </w:p>
    <w:p w14:paraId="14D4AA66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3D99B816" w14:textId="77777777" w:rsidR="009A1A5E" w:rsidRPr="00E6792C" w:rsidRDefault="00D34925" w:rsidP="00D34925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lastRenderedPageBreak/>
        <w:t>Předávkování</w:t>
      </w:r>
      <w:r w:rsidRPr="00E6792C">
        <w:rPr>
          <w:rFonts w:asciiTheme="majorBidi" w:hAnsiTheme="majorBidi" w:cstheme="majorBidi"/>
          <w:szCs w:val="22"/>
        </w:rPr>
        <w:t>:</w:t>
      </w:r>
    </w:p>
    <w:p w14:paraId="4D380433" w14:textId="77777777" w:rsidR="009A1A5E" w:rsidRPr="00E6792C" w:rsidRDefault="009A1A5E" w:rsidP="00D34925">
      <w:pPr>
        <w:pStyle w:val="Zkladntext"/>
        <w:keepNext/>
        <w:jc w:val="left"/>
        <w:rPr>
          <w:rFonts w:asciiTheme="majorBidi" w:hAnsiTheme="majorBidi" w:cstheme="majorBidi"/>
          <w:szCs w:val="22"/>
        </w:rPr>
      </w:pPr>
    </w:p>
    <w:p w14:paraId="7905FB0E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U skotu při podání troj-, </w:t>
      </w:r>
      <w:proofErr w:type="gramStart"/>
      <w:r w:rsidRPr="00E6792C">
        <w:rPr>
          <w:rFonts w:asciiTheme="majorBidi" w:hAnsiTheme="majorBidi" w:cstheme="majorBidi"/>
          <w:szCs w:val="22"/>
        </w:rPr>
        <w:t>pěti- nebo</w:t>
      </w:r>
      <w:proofErr w:type="gramEnd"/>
      <w:r w:rsidRPr="00E6792C">
        <w:rPr>
          <w:rFonts w:asciiTheme="majorBidi" w:hAnsiTheme="majorBidi" w:cstheme="majorBidi"/>
          <w:szCs w:val="22"/>
        </w:rPr>
        <w:t xml:space="preserve"> desetinásobku doporučené dávky byly pozorovány přechodné příznaky spojené s potížemi v místě podání, které následně vyvolaly neklid, třesení hlavou, hrabaní nohou po zemi a krátké snížení příjmu krmiva.  Mírná degenerace myokardu byla pozorována u skotu, který dostal pětinásobek až šestinásobek doporučené dávky.</w:t>
      </w:r>
    </w:p>
    <w:p w14:paraId="757D42D1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61793A25" w14:textId="77777777" w:rsidR="009A1A5E" w:rsidRPr="00E6792C" w:rsidRDefault="00D34925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U mladých prasat vážících přibližně 10 kg po podání </w:t>
      </w:r>
      <w:proofErr w:type="gramStart"/>
      <w:r w:rsidRPr="00E6792C">
        <w:rPr>
          <w:rFonts w:asciiTheme="majorBidi" w:hAnsiTheme="majorBidi" w:cstheme="majorBidi"/>
          <w:szCs w:val="22"/>
        </w:rPr>
        <w:t>troj- nebo</w:t>
      </w:r>
      <w:proofErr w:type="gramEnd"/>
      <w:r w:rsidRPr="00E6792C">
        <w:rPr>
          <w:rFonts w:asciiTheme="majorBidi" w:hAnsiTheme="majorBidi" w:cstheme="majorBidi"/>
          <w:szCs w:val="22"/>
        </w:rPr>
        <w:t xml:space="preserve"> pětinásobku léčebné dávky byly pozorovány přechodné příznaky spojené s potížemi v místě podání a vyvolávající nadměrné hlasové projevy a neklid. Taktéž bylo pozorováno kulhání, pokud byla místem aplikace zadní noha.</w:t>
      </w:r>
    </w:p>
    <w:p w14:paraId="02B87EC7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7AE449E4" w14:textId="77777777" w:rsidR="009A1A5E" w:rsidRPr="00E6792C" w:rsidRDefault="00D34925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U jehňat (zhruba v 6 týdnech věku) po podání </w:t>
      </w:r>
      <w:proofErr w:type="gramStart"/>
      <w:r w:rsidRPr="00E6792C">
        <w:rPr>
          <w:rFonts w:asciiTheme="majorBidi" w:hAnsiTheme="majorBidi" w:cstheme="majorBidi"/>
          <w:szCs w:val="22"/>
        </w:rPr>
        <w:t>troj- nebo</w:t>
      </w:r>
      <w:proofErr w:type="gramEnd"/>
      <w:r w:rsidRPr="00E6792C">
        <w:rPr>
          <w:rFonts w:asciiTheme="majorBidi" w:hAnsiTheme="majorBidi" w:cstheme="majorBidi"/>
          <w:szCs w:val="22"/>
        </w:rPr>
        <w:t xml:space="preserve"> pětinásobku doporučené dávky byly pozorovány přechodné příznaky spojené s potížemi v místě podání, zahrnující ustupování vzad, třesení hlavou, drbání v místě podání, polehávání a vstávání, bečení.</w:t>
      </w:r>
    </w:p>
    <w:p w14:paraId="22F3B97A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7B1F3B48" w14:textId="77777777" w:rsidR="009A1A5E" w:rsidRPr="00E6792C" w:rsidRDefault="00D34925" w:rsidP="00D34925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Zvláštní omezení použití a zvláštní podmínky pro použití</w:t>
      </w:r>
      <w:r w:rsidRPr="00E6792C">
        <w:rPr>
          <w:rFonts w:asciiTheme="majorBidi" w:hAnsiTheme="majorBidi" w:cstheme="majorBidi"/>
          <w:szCs w:val="22"/>
        </w:rPr>
        <w:t>:</w:t>
      </w:r>
    </w:p>
    <w:p w14:paraId="783241AC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B3661B" w14:textId="6AF3CA2B" w:rsidR="00691A80" w:rsidRPr="00E6792C" w:rsidRDefault="00691A80" w:rsidP="00D34925">
      <w:pPr>
        <w:spacing w:line="240" w:lineRule="auto"/>
      </w:pPr>
      <w:r w:rsidRPr="00E6792C">
        <w:t>Neuplatňuje se.</w:t>
      </w:r>
    </w:p>
    <w:p w14:paraId="0AA3A0B7" w14:textId="77777777" w:rsidR="00691A80" w:rsidRPr="00E6792C" w:rsidRDefault="00691A80" w:rsidP="00D34925">
      <w:pPr>
        <w:spacing w:line="240" w:lineRule="auto"/>
        <w:rPr>
          <w:color w:val="000000"/>
          <w:szCs w:val="22"/>
        </w:rPr>
      </w:pPr>
    </w:p>
    <w:p w14:paraId="4D72B48E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  <w:u w:val="single"/>
        </w:rPr>
        <w:t>Hlavní inkompatibility</w:t>
      </w:r>
      <w:r w:rsidRPr="00E6792C">
        <w:rPr>
          <w:rFonts w:asciiTheme="majorBidi" w:hAnsiTheme="majorBidi" w:cstheme="majorBidi"/>
          <w:szCs w:val="22"/>
        </w:rPr>
        <w:t>:</w:t>
      </w:r>
    </w:p>
    <w:p w14:paraId="44859310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5367A0BB" w14:textId="77777777" w:rsidR="009A1A5E" w:rsidRPr="00E6792C" w:rsidRDefault="00D34925" w:rsidP="00D34925">
      <w:pPr>
        <w:pStyle w:val="Zkladntext"/>
        <w:ind w:right="14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Studie kompatibility nejsou k dispozici, a proto tento veterinární léčivý přípravek nesmí být mísen s žádnými dalšími veterinárními léčivými přípravky.</w:t>
      </w:r>
    </w:p>
    <w:p w14:paraId="498E108E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6A1E03A1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C7E34D9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7.</w:t>
      </w:r>
      <w:r w:rsidRPr="00E6792C">
        <w:rPr>
          <w:rFonts w:asciiTheme="majorBidi" w:hAnsiTheme="majorBidi" w:cstheme="majorBidi"/>
        </w:rPr>
        <w:tab/>
        <w:t>Nežádoucí účinky</w:t>
      </w:r>
    </w:p>
    <w:p w14:paraId="30BE17E3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7A73C01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bookmarkStart w:id="0" w:name="_Hlk208932652"/>
      <w:bookmarkStart w:id="1" w:name="_Hlk184640527"/>
      <w:r w:rsidRPr="00E6792C">
        <w:rPr>
          <w:szCs w:val="22"/>
          <w:u w:val="single"/>
        </w:rPr>
        <w:t>Skot:</w:t>
      </w:r>
    </w:p>
    <w:p w14:paraId="35B5B25A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9A1A5E" w:rsidRPr="00E6792C" w14:paraId="7B3B916B" w14:textId="77777777">
        <w:trPr>
          <w:trHeight w:val="398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052F" w14:textId="77777777" w:rsidR="009A1A5E" w:rsidRPr="00E6792C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E6792C">
              <w:rPr>
                <w:szCs w:val="22"/>
              </w:rPr>
              <w:t>Velmi časté (&gt; 1 zvíře / 10 ošetřených zvířat):</w:t>
            </w:r>
          </w:p>
        </w:tc>
      </w:tr>
      <w:tr w:rsidR="009A1A5E" w:rsidRPr="00E6792C" w14:paraId="30A6B2EC" w14:textId="77777777">
        <w:trPr>
          <w:trHeight w:val="398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C2AA" w14:textId="4C34ED92" w:rsidR="009A1A5E" w:rsidRPr="00E6792C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E6792C">
              <w:rPr>
                <w:szCs w:val="22"/>
              </w:rPr>
              <w:t xml:space="preserve">Otok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1,4</w:t>
            </w:r>
            <w:r w:rsidRPr="00E6792C">
              <w:rPr>
                <w:szCs w:val="22"/>
              </w:rPr>
              <w:t xml:space="preserve">, fibróza (zjizvení)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1,2</w:t>
            </w:r>
            <w:r w:rsidRPr="00E6792C">
              <w:rPr>
                <w:szCs w:val="22"/>
              </w:rPr>
              <w:t xml:space="preserve">, krvácení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1,2</w:t>
            </w:r>
            <w:r w:rsidRPr="00E6792C">
              <w:rPr>
                <w:szCs w:val="22"/>
              </w:rPr>
              <w:t xml:space="preserve">, otok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1,2</w:t>
            </w:r>
            <w:r w:rsidRPr="00E6792C">
              <w:rPr>
                <w:szCs w:val="22"/>
              </w:rPr>
              <w:t xml:space="preserve">, reakce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1,2,3</w:t>
            </w:r>
            <w:r w:rsidRPr="00E6792C">
              <w:rPr>
                <w:szCs w:val="22"/>
              </w:rPr>
              <w:t xml:space="preserve">, bolest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4</w:t>
            </w:r>
          </w:p>
        </w:tc>
      </w:tr>
    </w:tbl>
    <w:p w14:paraId="062AE64C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1</w:t>
      </w:r>
      <w:r w:rsidRPr="00E6792C">
        <w:rPr>
          <w:szCs w:val="22"/>
        </w:rPr>
        <w:t xml:space="preserve"> Může přetrvávat přibližně 30 dní po injekci.</w:t>
      </w:r>
    </w:p>
    <w:p w14:paraId="36D1ADED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2</w:t>
      </w:r>
      <w:r w:rsidRPr="00E6792C">
        <w:rPr>
          <w:szCs w:val="22"/>
        </w:rPr>
        <w:t xml:space="preserve"> Reversibilní.</w:t>
      </w:r>
    </w:p>
    <w:p w14:paraId="250A3F68" w14:textId="259FBE3F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3</w:t>
      </w:r>
      <w:r w:rsidRPr="00E6792C">
        <w:rPr>
          <w:szCs w:val="22"/>
        </w:rPr>
        <w:t xml:space="preserve"> </w:t>
      </w:r>
      <w:r w:rsidR="00970483" w:rsidRPr="00E6792C">
        <w:rPr>
          <w:szCs w:val="22"/>
        </w:rPr>
        <w:t>Přetížení</w:t>
      </w:r>
      <w:r w:rsidRPr="00E6792C">
        <w:rPr>
          <w:szCs w:val="22"/>
        </w:rPr>
        <w:t>.</w:t>
      </w:r>
    </w:p>
    <w:p w14:paraId="152F3840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4</w:t>
      </w:r>
      <w:r w:rsidRPr="00E6792C">
        <w:rPr>
          <w:szCs w:val="22"/>
        </w:rPr>
        <w:t xml:space="preserve"> Přechodné.</w:t>
      </w:r>
    </w:p>
    <w:p w14:paraId="4F8D9CF5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06CB3534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6792C">
        <w:rPr>
          <w:szCs w:val="22"/>
          <w:u w:val="single"/>
        </w:rPr>
        <w:t>Prasata:</w:t>
      </w:r>
    </w:p>
    <w:p w14:paraId="3CC4C955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9A1A5E" w:rsidRPr="00E6792C" w14:paraId="354E3723" w14:textId="77777777">
        <w:trPr>
          <w:trHeight w:val="565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C999E" w14:textId="77777777" w:rsidR="009A1A5E" w:rsidRPr="00E6792C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E6792C">
              <w:rPr>
                <w:szCs w:val="22"/>
              </w:rPr>
              <w:t>Velmi časté (&gt; 1 zvíře / 10 ošetřených zvířat):</w:t>
            </w:r>
          </w:p>
        </w:tc>
      </w:tr>
      <w:tr w:rsidR="009A1A5E" w:rsidRPr="00E6792C" w14:paraId="42434084" w14:textId="77777777">
        <w:trPr>
          <w:trHeight w:val="565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1368" w14:textId="7C523CA4" w:rsidR="009A1A5E" w:rsidRPr="00E6792C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E6792C">
              <w:rPr>
                <w:szCs w:val="22"/>
              </w:rPr>
              <w:t xml:space="preserve">Reakce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1,2,3</w:t>
            </w:r>
            <w:r w:rsidRPr="00E6792C">
              <w:rPr>
                <w:szCs w:val="22"/>
              </w:rPr>
              <w:t xml:space="preserve">, fibróza (zjizvení)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1,2</w:t>
            </w:r>
            <w:r w:rsidRPr="00E6792C">
              <w:rPr>
                <w:szCs w:val="22"/>
              </w:rPr>
              <w:t xml:space="preserve">, krvácení v místě </w:t>
            </w:r>
            <w:r w:rsidR="009F6580" w:rsidRPr="00E6792C">
              <w:rPr>
                <w:szCs w:val="22"/>
              </w:rPr>
              <w:t>injekčního podání</w:t>
            </w:r>
            <w:r w:rsidRPr="00E6792C">
              <w:rPr>
                <w:szCs w:val="22"/>
                <w:vertAlign w:val="superscript"/>
              </w:rPr>
              <w:t>1,2</w:t>
            </w:r>
            <w:r w:rsidRPr="00E6792C">
              <w:rPr>
                <w:szCs w:val="22"/>
              </w:rPr>
              <w:t>, edém v</w:t>
            </w:r>
            <w:r w:rsidR="005749BE" w:rsidRPr="00E6792C">
              <w:rPr>
                <w:szCs w:val="22"/>
              </w:rPr>
              <w:t> </w:t>
            </w:r>
            <w:r w:rsidRPr="00E6792C">
              <w:rPr>
                <w:szCs w:val="22"/>
              </w:rPr>
              <w:t>místě</w:t>
            </w:r>
            <w:r w:rsidR="005749BE" w:rsidRPr="00E6792C">
              <w:rPr>
                <w:szCs w:val="22"/>
              </w:rPr>
              <w:t xml:space="preserve"> injekčního podání</w:t>
            </w:r>
            <w:r w:rsidRPr="00E6792C">
              <w:rPr>
                <w:szCs w:val="22"/>
              </w:rPr>
              <w:t xml:space="preserve"> </w:t>
            </w:r>
            <w:r w:rsidRPr="00E6792C">
              <w:rPr>
                <w:szCs w:val="22"/>
                <w:vertAlign w:val="superscript"/>
              </w:rPr>
              <w:t>1,2</w:t>
            </w:r>
          </w:p>
        </w:tc>
      </w:tr>
    </w:tbl>
    <w:p w14:paraId="290EE996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1</w:t>
      </w:r>
      <w:r w:rsidRPr="00E6792C">
        <w:rPr>
          <w:szCs w:val="22"/>
        </w:rPr>
        <w:t xml:space="preserve"> Může přetrvávat přibližně 30 dní po injekci.</w:t>
      </w:r>
    </w:p>
    <w:p w14:paraId="3C23ECF8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2</w:t>
      </w:r>
      <w:r w:rsidRPr="00E6792C">
        <w:rPr>
          <w:szCs w:val="22"/>
        </w:rPr>
        <w:t xml:space="preserve"> Reversibilní</w:t>
      </w:r>
    </w:p>
    <w:p w14:paraId="4946B8E4" w14:textId="79ED63E6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3</w:t>
      </w:r>
      <w:r w:rsidRPr="00E6792C">
        <w:rPr>
          <w:szCs w:val="22"/>
        </w:rPr>
        <w:t xml:space="preserve"> </w:t>
      </w:r>
      <w:r w:rsidR="00970483" w:rsidRPr="00E6792C">
        <w:rPr>
          <w:szCs w:val="22"/>
        </w:rPr>
        <w:t>Přetížení</w:t>
      </w:r>
      <w:r w:rsidRPr="00E6792C">
        <w:rPr>
          <w:szCs w:val="22"/>
        </w:rPr>
        <w:t>.</w:t>
      </w:r>
    </w:p>
    <w:p w14:paraId="392FD1A7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7A8AD0CD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 w:rsidRPr="00E6792C">
        <w:rPr>
          <w:szCs w:val="22"/>
          <w:u w:val="single"/>
        </w:rPr>
        <w:t>Ovce</w:t>
      </w:r>
      <w:r w:rsidRPr="00E6792C">
        <w:rPr>
          <w:szCs w:val="22"/>
        </w:rPr>
        <w:t>:</w:t>
      </w:r>
    </w:p>
    <w:p w14:paraId="3A794035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1"/>
      </w:tblGrid>
      <w:tr w:rsidR="009A1A5E" w:rsidRPr="00E6792C" w14:paraId="36BA57CE" w14:textId="77777777">
        <w:trPr>
          <w:trHeight w:val="398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548" w14:textId="77777777" w:rsidR="009A1A5E" w:rsidRPr="00E6792C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E6792C">
              <w:rPr>
                <w:szCs w:val="22"/>
              </w:rPr>
              <w:t>Velmi časté (&gt; 1 zvíře / 10 ošetřených zvířat):</w:t>
            </w:r>
          </w:p>
        </w:tc>
      </w:tr>
      <w:tr w:rsidR="009A1A5E" w:rsidRPr="00E6792C" w14:paraId="674FCEA5" w14:textId="77777777">
        <w:trPr>
          <w:trHeight w:val="398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3BDA" w14:textId="77777777" w:rsidR="009A1A5E" w:rsidRPr="00E6792C" w:rsidRDefault="00D34925" w:rsidP="00D34925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E6792C">
              <w:rPr>
                <w:szCs w:val="22"/>
              </w:rPr>
              <w:t>Nepohodlí</w:t>
            </w:r>
            <w:r w:rsidRPr="00E6792C">
              <w:rPr>
                <w:szCs w:val="22"/>
                <w:vertAlign w:val="superscript"/>
              </w:rPr>
              <w:t>1</w:t>
            </w:r>
          </w:p>
        </w:tc>
      </w:tr>
    </w:tbl>
    <w:p w14:paraId="7BB76F79" w14:textId="231E665E" w:rsidR="009A1A5E" w:rsidRPr="00E6792C" w:rsidRDefault="00D34925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 w:rsidRPr="00E6792C">
        <w:rPr>
          <w:szCs w:val="22"/>
          <w:vertAlign w:val="superscript"/>
        </w:rPr>
        <w:t>1</w:t>
      </w:r>
      <w:r w:rsidRPr="00E6792C">
        <w:rPr>
          <w:szCs w:val="22"/>
        </w:rPr>
        <w:t xml:space="preserve"> Třesení hlavou, tření místa </w:t>
      </w:r>
      <w:r w:rsidR="00970483" w:rsidRPr="00E6792C">
        <w:rPr>
          <w:szCs w:val="22"/>
        </w:rPr>
        <w:t>injekčního podání</w:t>
      </w:r>
      <w:r w:rsidRPr="00E6792C">
        <w:rPr>
          <w:szCs w:val="22"/>
        </w:rPr>
        <w:t>, couvání; tyto příznaky jsou přechodné a odezní během několika minut.</w:t>
      </w:r>
    </w:p>
    <w:bookmarkEnd w:id="0"/>
    <w:p w14:paraId="58146A74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14:paraId="7FB2112A" w14:textId="77777777" w:rsidR="009F6580" w:rsidRPr="00E6792C" w:rsidRDefault="00D34925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lastRenderedPageBreak/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500A0856" w14:textId="226B0BD8" w:rsidR="008145D9" w:rsidRPr="00E6792C" w:rsidRDefault="00D34925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 </w:t>
      </w:r>
    </w:p>
    <w:p w14:paraId="74CA8FC2" w14:textId="20AC0506" w:rsidR="008145D9" w:rsidRPr="00E6792C" w:rsidRDefault="008145D9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Ústav pro státní kontrolu veterinárních</w:t>
      </w:r>
      <w:r w:rsidR="00CA4740" w:rsidRPr="00E6792C">
        <w:rPr>
          <w:rFonts w:asciiTheme="majorBidi" w:hAnsiTheme="majorBidi" w:cstheme="majorBidi"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>biopreparátů a léčiv</w:t>
      </w:r>
    </w:p>
    <w:p w14:paraId="19F9EE01" w14:textId="77777777" w:rsidR="008145D9" w:rsidRPr="00E6792C" w:rsidRDefault="008145D9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Hudcova 232/</w:t>
      </w:r>
      <w:proofErr w:type="gramStart"/>
      <w:r w:rsidRPr="00E6792C">
        <w:rPr>
          <w:rFonts w:asciiTheme="majorBidi" w:hAnsiTheme="majorBidi" w:cstheme="majorBidi"/>
          <w:szCs w:val="22"/>
        </w:rPr>
        <w:t>56a</w:t>
      </w:r>
      <w:proofErr w:type="gramEnd"/>
    </w:p>
    <w:p w14:paraId="242C5ED4" w14:textId="77777777" w:rsidR="008145D9" w:rsidRPr="00E6792C" w:rsidRDefault="008145D9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621 00 Brno</w:t>
      </w:r>
    </w:p>
    <w:p w14:paraId="553EA2E9" w14:textId="3887C2A1" w:rsidR="008145D9" w:rsidRPr="00E6792C" w:rsidRDefault="009F6580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T</w:t>
      </w:r>
      <w:r w:rsidR="008145D9" w:rsidRPr="00E6792C">
        <w:rPr>
          <w:rFonts w:asciiTheme="majorBidi" w:hAnsiTheme="majorBidi" w:cstheme="majorBidi"/>
          <w:szCs w:val="22"/>
        </w:rPr>
        <w:t>el.: +420 720 940 693</w:t>
      </w:r>
    </w:p>
    <w:p w14:paraId="5EFCB1D0" w14:textId="72E0B7E9" w:rsidR="008145D9" w:rsidRPr="00E6792C" w:rsidRDefault="009F6580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E-m</w:t>
      </w:r>
      <w:r w:rsidR="008145D9" w:rsidRPr="00E6792C">
        <w:rPr>
          <w:rFonts w:asciiTheme="majorBidi" w:hAnsiTheme="majorBidi" w:cstheme="majorBidi"/>
          <w:szCs w:val="22"/>
        </w:rPr>
        <w:t>ail: adr@uskvbl.cz</w:t>
      </w:r>
    </w:p>
    <w:p w14:paraId="1F3E6B5B" w14:textId="77777777" w:rsidR="008145D9" w:rsidRPr="00E6792C" w:rsidRDefault="008145D9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Webové stránky:</w:t>
      </w:r>
    </w:p>
    <w:p w14:paraId="2244DB0E" w14:textId="62FB654C" w:rsidR="009A1A5E" w:rsidRPr="00E6792C" w:rsidRDefault="008145D9" w:rsidP="008145D9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http://www.uskvbl.cz/cs/farmakovigilanc</w:t>
      </w:r>
    </w:p>
    <w:p w14:paraId="469465AD" w14:textId="77777777" w:rsidR="009A1A5E" w:rsidRPr="00E6792C" w:rsidRDefault="009A1A5E" w:rsidP="00D34925">
      <w:pPr>
        <w:spacing w:line="240" w:lineRule="auto"/>
        <w:rPr>
          <w:rFonts w:asciiTheme="majorBidi" w:hAnsiTheme="majorBidi" w:cstheme="majorBidi"/>
          <w:szCs w:val="22"/>
        </w:rPr>
      </w:pPr>
    </w:p>
    <w:bookmarkEnd w:id="1"/>
    <w:p w14:paraId="460D8386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0F7B982E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8.</w:t>
      </w:r>
      <w:r w:rsidRPr="00E6792C">
        <w:rPr>
          <w:rFonts w:asciiTheme="majorBidi" w:hAnsiTheme="majorBidi" w:cstheme="majorBidi"/>
        </w:rPr>
        <w:tab/>
        <w:t>Dávkování pro každý druh, cesty a způsob podání</w:t>
      </w:r>
    </w:p>
    <w:p w14:paraId="1389D0CA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</w:p>
    <w:p w14:paraId="291B9214" w14:textId="77777777" w:rsidR="009A1A5E" w:rsidRPr="00E6792C" w:rsidRDefault="00D34925" w:rsidP="00D34925">
      <w:pPr>
        <w:spacing w:line="240" w:lineRule="auto"/>
        <w:rPr>
          <w:rFonts w:eastAsia="Calibri"/>
          <w:szCs w:val="22"/>
        </w:rPr>
      </w:pPr>
      <w:r w:rsidRPr="00E6792C">
        <w:rPr>
          <w:szCs w:val="22"/>
        </w:rPr>
        <w:t xml:space="preserve">Skot: subkutánní podání </w:t>
      </w:r>
      <w:r w:rsidRPr="00E6792C">
        <w:rPr>
          <w:b/>
          <w:bCs/>
          <w:szCs w:val="22"/>
        </w:rPr>
        <w:t>(</w:t>
      </w:r>
      <w:proofErr w:type="spellStart"/>
      <w:r w:rsidRPr="00E6792C">
        <w:rPr>
          <w:b/>
          <w:bCs/>
          <w:szCs w:val="22"/>
        </w:rPr>
        <w:t>s.c</w:t>
      </w:r>
      <w:proofErr w:type="spellEnd"/>
      <w:r w:rsidRPr="00E6792C">
        <w:rPr>
          <w:b/>
          <w:bCs/>
          <w:szCs w:val="22"/>
        </w:rPr>
        <w:t>.)</w:t>
      </w:r>
      <w:r w:rsidRPr="00E6792C">
        <w:rPr>
          <w:szCs w:val="22"/>
        </w:rPr>
        <w:t>.</w:t>
      </w:r>
    </w:p>
    <w:p w14:paraId="21BFC1B0" w14:textId="77777777" w:rsidR="009A1A5E" w:rsidRPr="00E6792C" w:rsidRDefault="00D34925" w:rsidP="00D34925">
      <w:pPr>
        <w:spacing w:line="240" w:lineRule="auto"/>
        <w:rPr>
          <w:rFonts w:eastAsia="Calibri"/>
          <w:szCs w:val="22"/>
        </w:rPr>
      </w:pPr>
      <w:r w:rsidRPr="00E6792C">
        <w:rPr>
          <w:szCs w:val="22"/>
        </w:rPr>
        <w:t xml:space="preserve">Prasata a ovce: intramuskulární podání </w:t>
      </w:r>
      <w:r w:rsidRPr="00E6792C">
        <w:rPr>
          <w:b/>
          <w:bCs/>
          <w:szCs w:val="22"/>
        </w:rPr>
        <w:t>(</w:t>
      </w:r>
      <w:proofErr w:type="spellStart"/>
      <w:r w:rsidRPr="00E6792C">
        <w:rPr>
          <w:b/>
          <w:bCs/>
          <w:szCs w:val="22"/>
        </w:rPr>
        <w:t>i.m</w:t>
      </w:r>
      <w:proofErr w:type="spellEnd"/>
      <w:r w:rsidRPr="00E6792C">
        <w:rPr>
          <w:b/>
          <w:bCs/>
          <w:szCs w:val="22"/>
        </w:rPr>
        <w:t>.)</w:t>
      </w:r>
      <w:r w:rsidRPr="00E6792C">
        <w:rPr>
          <w:szCs w:val="22"/>
        </w:rPr>
        <w:t>.</w:t>
      </w:r>
    </w:p>
    <w:p w14:paraId="54764E29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</w:p>
    <w:p w14:paraId="59A150D6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>Skot</w:t>
      </w:r>
    </w:p>
    <w:p w14:paraId="1CA708B2" w14:textId="77777777" w:rsidR="009A1A5E" w:rsidRPr="00E6792C" w:rsidRDefault="00D34925" w:rsidP="00D34925">
      <w:pPr>
        <w:pStyle w:val="Zkladntext"/>
        <w:ind w:right="210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 xml:space="preserve">2,5 mg </w:t>
      </w:r>
      <w:proofErr w:type="spellStart"/>
      <w:r w:rsidRPr="00E6792C">
        <w:rPr>
          <w:rFonts w:asciiTheme="majorBidi" w:hAnsiTheme="majorBidi" w:cstheme="majorBidi"/>
          <w:bCs/>
          <w:szCs w:val="22"/>
        </w:rPr>
        <w:t>tulathromycinu</w:t>
      </w:r>
      <w:proofErr w:type="spellEnd"/>
      <w:r w:rsidRPr="00E6792C">
        <w:rPr>
          <w:rFonts w:asciiTheme="majorBidi" w:hAnsiTheme="majorBidi" w:cstheme="majorBidi"/>
          <w:bCs/>
          <w:szCs w:val="22"/>
        </w:rPr>
        <w:t>/kg živé hmotnosti (odpovídá 1 ml/40 kg živé hmotnosti).</w:t>
      </w:r>
    </w:p>
    <w:p w14:paraId="4F055E2B" w14:textId="77777777" w:rsidR="009A1A5E" w:rsidRPr="00E6792C" w:rsidRDefault="009A1A5E" w:rsidP="00D34925">
      <w:pPr>
        <w:pStyle w:val="Zkladntext"/>
        <w:ind w:right="210"/>
        <w:jc w:val="left"/>
        <w:rPr>
          <w:rFonts w:asciiTheme="majorBidi" w:hAnsiTheme="majorBidi" w:cstheme="majorBidi"/>
          <w:bCs/>
          <w:szCs w:val="22"/>
        </w:rPr>
      </w:pPr>
    </w:p>
    <w:p w14:paraId="1BFA78BB" w14:textId="7074C80C" w:rsidR="009A1A5E" w:rsidRPr="00E6792C" w:rsidRDefault="00D34925" w:rsidP="00D34925">
      <w:pPr>
        <w:pStyle w:val="Zkladntext"/>
        <w:ind w:right="210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 xml:space="preserve">Jednorázové subkutánní podání. Při léčbě skotu nad 300 kg živé hmotnosti rozdělte dávku tak, aby na jedno místo nebylo </w:t>
      </w:r>
      <w:r w:rsidR="00D20F5E" w:rsidRPr="00E6792C">
        <w:rPr>
          <w:rFonts w:asciiTheme="majorBidi" w:hAnsiTheme="majorBidi" w:cstheme="majorBidi"/>
          <w:bCs/>
          <w:szCs w:val="22"/>
        </w:rPr>
        <w:t>pod</w:t>
      </w:r>
      <w:r w:rsidRPr="00E6792C">
        <w:rPr>
          <w:rFonts w:asciiTheme="majorBidi" w:hAnsiTheme="majorBidi" w:cstheme="majorBidi"/>
          <w:bCs/>
          <w:szCs w:val="22"/>
        </w:rPr>
        <w:t>áno více jak 7,5 ml.</w:t>
      </w:r>
    </w:p>
    <w:p w14:paraId="72F660FE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</w:p>
    <w:p w14:paraId="70F3DFEA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>Prasata</w:t>
      </w:r>
    </w:p>
    <w:p w14:paraId="56E206B9" w14:textId="77777777" w:rsidR="009A1A5E" w:rsidRPr="00E6792C" w:rsidRDefault="00D34925" w:rsidP="00D34925">
      <w:pPr>
        <w:pStyle w:val="Zkladntext"/>
        <w:ind w:right="84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 xml:space="preserve">2,5 mg </w:t>
      </w:r>
      <w:proofErr w:type="spellStart"/>
      <w:r w:rsidRPr="00E6792C">
        <w:rPr>
          <w:rFonts w:asciiTheme="majorBidi" w:hAnsiTheme="majorBidi" w:cstheme="majorBidi"/>
          <w:bCs/>
          <w:szCs w:val="22"/>
        </w:rPr>
        <w:t>tulathromycinu</w:t>
      </w:r>
      <w:proofErr w:type="spellEnd"/>
      <w:r w:rsidRPr="00E6792C">
        <w:rPr>
          <w:rFonts w:asciiTheme="majorBidi" w:hAnsiTheme="majorBidi" w:cstheme="majorBidi"/>
          <w:bCs/>
          <w:szCs w:val="22"/>
        </w:rPr>
        <w:t>/kg živé hmotnosti (odpovídá 1 ml/40 kg živé hmotnosti).</w:t>
      </w:r>
    </w:p>
    <w:p w14:paraId="3828C4A5" w14:textId="77777777" w:rsidR="009A1A5E" w:rsidRPr="00E6792C" w:rsidRDefault="009A1A5E" w:rsidP="00D34925">
      <w:pPr>
        <w:pStyle w:val="Zkladntext"/>
        <w:ind w:right="84"/>
        <w:jc w:val="left"/>
        <w:rPr>
          <w:rFonts w:asciiTheme="majorBidi" w:hAnsiTheme="majorBidi" w:cstheme="majorBidi"/>
          <w:bCs/>
          <w:szCs w:val="22"/>
        </w:rPr>
      </w:pPr>
    </w:p>
    <w:p w14:paraId="0F0CB4D4" w14:textId="4B2B6128" w:rsidR="009A1A5E" w:rsidRPr="00E6792C" w:rsidRDefault="00D34925" w:rsidP="00D34925">
      <w:pPr>
        <w:pStyle w:val="Zkladntext"/>
        <w:ind w:right="84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 xml:space="preserve">Jednorázové intramuskulární podání do krku. Při léčbě prasat nad 80 kg živé hmotnosti rozdělte dávku tak, aby na jedno místo nebylo </w:t>
      </w:r>
      <w:r w:rsidR="00D20F5E" w:rsidRPr="00E6792C">
        <w:rPr>
          <w:rFonts w:asciiTheme="majorBidi" w:hAnsiTheme="majorBidi" w:cstheme="majorBidi"/>
          <w:bCs/>
          <w:szCs w:val="22"/>
        </w:rPr>
        <w:t>pod</w:t>
      </w:r>
      <w:r w:rsidRPr="00E6792C">
        <w:rPr>
          <w:rFonts w:asciiTheme="majorBidi" w:hAnsiTheme="majorBidi" w:cstheme="majorBidi"/>
          <w:bCs/>
          <w:szCs w:val="22"/>
        </w:rPr>
        <w:t>áno více jak 2 ml.</w:t>
      </w:r>
    </w:p>
    <w:p w14:paraId="7581D60B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</w:p>
    <w:p w14:paraId="10FD6A92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>Ovce</w:t>
      </w:r>
    </w:p>
    <w:p w14:paraId="64EE1F34" w14:textId="77777777" w:rsidR="009A1A5E" w:rsidRPr="00E6792C" w:rsidRDefault="00D34925" w:rsidP="00D34925">
      <w:pPr>
        <w:pStyle w:val="Zkladntext"/>
        <w:ind w:right="85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 xml:space="preserve">2,5 mg </w:t>
      </w:r>
      <w:proofErr w:type="spellStart"/>
      <w:r w:rsidRPr="00E6792C">
        <w:rPr>
          <w:rFonts w:asciiTheme="majorBidi" w:hAnsiTheme="majorBidi" w:cstheme="majorBidi"/>
          <w:bCs/>
          <w:szCs w:val="22"/>
        </w:rPr>
        <w:t>tulathromycinu</w:t>
      </w:r>
      <w:proofErr w:type="spellEnd"/>
      <w:r w:rsidRPr="00E6792C">
        <w:rPr>
          <w:rFonts w:asciiTheme="majorBidi" w:hAnsiTheme="majorBidi" w:cstheme="majorBidi"/>
          <w:bCs/>
          <w:szCs w:val="22"/>
        </w:rPr>
        <w:t>/kg živé hmotnosti (odpovídá 1 ml/40 kg živé hmotnosti).</w:t>
      </w:r>
    </w:p>
    <w:p w14:paraId="1E3008A0" w14:textId="77777777" w:rsidR="009A1A5E" w:rsidRPr="00E6792C" w:rsidRDefault="009A1A5E" w:rsidP="00D34925">
      <w:pPr>
        <w:pStyle w:val="Zkladntext"/>
        <w:ind w:right="85"/>
        <w:jc w:val="left"/>
        <w:rPr>
          <w:rFonts w:asciiTheme="majorBidi" w:hAnsiTheme="majorBidi" w:cstheme="majorBidi"/>
          <w:bCs/>
          <w:szCs w:val="22"/>
        </w:rPr>
      </w:pPr>
    </w:p>
    <w:p w14:paraId="33C7A9D5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>Jednorázové intramuskulární podání do krku.</w:t>
      </w:r>
    </w:p>
    <w:p w14:paraId="0DCB23B4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</w:p>
    <w:p w14:paraId="45256344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</w:rPr>
        <w:t>Gumovou zátku lze bezpečně propíchnout max. 25krát u 100ml lahviček a max. 50krát u 250ml lahviček.</w:t>
      </w:r>
    </w:p>
    <w:p w14:paraId="465E0E5B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Cs/>
          <w:szCs w:val="22"/>
        </w:rPr>
      </w:pPr>
    </w:p>
    <w:p w14:paraId="21598D0E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3851D51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9.</w:t>
      </w:r>
      <w:r w:rsidRPr="00E6792C">
        <w:rPr>
          <w:rFonts w:asciiTheme="majorBidi" w:hAnsiTheme="majorBidi" w:cstheme="majorBidi"/>
        </w:rPr>
        <w:tab/>
        <w:t>Informace o správném podávání</w:t>
      </w:r>
    </w:p>
    <w:p w14:paraId="24C26DFD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/>
          <w:szCs w:val="22"/>
        </w:rPr>
      </w:pPr>
    </w:p>
    <w:p w14:paraId="52025A47" w14:textId="77777777" w:rsidR="009A1A5E" w:rsidRPr="00E6792C" w:rsidRDefault="00D34925" w:rsidP="00D34925">
      <w:pPr>
        <w:pStyle w:val="Zkladntext"/>
        <w:ind w:right="103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Při jakémkoliv respiračním onemocnění se doporučuje léčit zvířata v počátečních stádiích onemocnění a zhodnotit odpověď na léčbu za 48 hodin po podání. Pokud klinické příznaky respiračního onemocnění přetrvávají nebo se zhoršují nebo dojde k recidivě, měla by být léčba změněna s použitím jiného antibiotika a je třeba s léčbou pokračovat až do vymizení klinických příznaků.</w:t>
      </w:r>
    </w:p>
    <w:p w14:paraId="3F4E27B1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3455793C" w14:textId="5A3B0B7A" w:rsidR="009A1A5E" w:rsidRPr="00E6792C" w:rsidRDefault="00D34925" w:rsidP="00D34925">
      <w:pPr>
        <w:pStyle w:val="Zkladntext"/>
        <w:ind w:right="195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K zajištění správného dávkování má být živá hmotnost stanovena tak přesně, jak je to možné. Při vícenásobném odběru z injekční lahvičky se doporučuje použití aspirační jehly nebo dávkovacího injekčního automatu, aby se předešlo nadměrnému propichování gumové zátky. </w:t>
      </w:r>
    </w:p>
    <w:p w14:paraId="4E18B4A9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24D78446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AFA32D7" w14:textId="77777777" w:rsidR="009A1A5E" w:rsidRPr="00E6792C" w:rsidRDefault="00D34925" w:rsidP="00CA4740">
      <w:pPr>
        <w:pStyle w:val="Style1"/>
        <w:keepNext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lastRenderedPageBreak/>
        <w:t>10.</w:t>
      </w:r>
      <w:r w:rsidRPr="00E6792C">
        <w:rPr>
          <w:rFonts w:asciiTheme="majorBidi" w:hAnsiTheme="majorBidi" w:cstheme="majorBidi"/>
        </w:rPr>
        <w:tab/>
        <w:t>Ochranné lhůty</w:t>
      </w:r>
    </w:p>
    <w:p w14:paraId="6B7D51E5" w14:textId="77777777" w:rsidR="009A1A5E" w:rsidRPr="00E6792C" w:rsidRDefault="009A1A5E" w:rsidP="00CA4740">
      <w:pPr>
        <w:pStyle w:val="Zkladntext"/>
        <w:keepNext/>
        <w:jc w:val="left"/>
        <w:rPr>
          <w:rFonts w:asciiTheme="majorBidi" w:hAnsiTheme="majorBidi" w:cstheme="majorBidi"/>
          <w:b/>
          <w:szCs w:val="22"/>
        </w:rPr>
      </w:pPr>
    </w:p>
    <w:p w14:paraId="41BBBEB2" w14:textId="77777777" w:rsidR="009A1A5E" w:rsidRPr="00E6792C" w:rsidRDefault="00D34925" w:rsidP="00D34925">
      <w:pPr>
        <w:pStyle w:val="Zkladntext"/>
        <w:ind w:right="-1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Skot (maso): 22 dní.</w:t>
      </w:r>
    </w:p>
    <w:p w14:paraId="5A8F79EB" w14:textId="77777777" w:rsidR="009A1A5E" w:rsidRPr="00E6792C" w:rsidRDefault="00D34925" w:rsidP="00D34925">
      <w:pPr>
        <w:pStyle w:val="Zkladntext"/>
        <w:ind w:right="-1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Prasata (maso): 13 dní.</w:t>
      </w:r>
    </w:p>
    <w:p w14:paraId="4D45229C" w14:textId="77777777" w:rsidR="009A1A5E" w:rsidRPr="00E6792C" w:rsidRDefault="00D34925" w:rsidP="00D34925">
      <w:pPr>
        <w:pStyle w:val="Zkladntext"/>
        <w:ind w:right="-1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Ovce (maso): 16 dní.</w:t>
      </w:r>
    </w:p>
    <w:p w14:paraId="704D8646" w14:textId="77777777" w:rsidR="009A1A5E" w:rsidRPr="00E6792C" w:rsidRDefault="009A1A5E" w:rsidP="00D34925">
      <w:pPr>
        <w:pStyle w:val="Zkladntext"/>
        <w:ind w:right="7013"/>
        <w:jc w:val="left"/>
        <w:rPr>
          <w:rFonts w:asciiTheme="majorBidi" w:hAnsiTheme="majorBidi" w:cstheme="majorBidi"/>
          <w:szCs w:val="22"/>
        </w:rPr>
      </w:pPr>
    </w:p>
    <w:p w14:paraId="69250FD5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Nepoužívat u zvířat, jejichž mléko je určeno pro lidskou spotřebu.</w:t>
      </w:r>
    </w:p>
    <w:p w14:paraId="4DDD4781" w14:textId="3D91DDE6" w:rsidR="009A1A5E" w:rsidRPr="00E6792C" w:rsidRDefault="00E4032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B</w:t>
      </w:r>
      <w:r w:rsidR="00D34925" w:rsidRPr="00E6792C">
        <w:rPr>
          <w:rFonts w:asciiTheme="majorBidi" w:hAnsiTheme="majorBidi" w:cstheme="majorBidi"/>
          <w:szCs w:val="22"/>
        </w:rPr>
        <w:t xml:space="preserve">ěhem 2 měsíců před očekávaným porodem </w:t>
      </w:r>
      <w:r w:rsidR="00DC012F" w:rsidRPr="00E6792C">
        <w:rPr>
          <w:rFonts w:asciiTheme="majorBidi" w:hAnsiTheme="majorBidi" w:cstheme="majorBidi"/>
          <w:szCs w:val="22"/>
        </w:rPr>
        <w:t xml:space="preserve">nepoužívat </w:t>
      </w:r>
      <w:r w:rsidR="00D34925" w:rsidRPr="00E6792C">
        <w:rPr>
          <w:rFonts w:asciiTheme="majorBidi" w:hAnsiTheme="majorBidi" w:cstheme="majorBidi"/>
          <w:szCs w:val="22"/>
        </w:rPr>
        <w:t xml:space="preserve">u březích zvířat určených </w:t>
      </w:r>
      <w:r w:rsidR="00643A22" w:rsidRPr="00E6792C">
        <w:rPr>
          <w:rFonts w:asciiTheme="majorBidi" w:hAnsiTheme="majorBidi" w:cstheme="majorBidi"/>
          <w:szCs w:val="22"/>
        </w:rPr>
        <w:t>k</w:t>
      </w:r>
      <w:r w:rsidR="00D34925" w:rsidRPr="00E6792C">
        <w:rPr>
          <w:rFonts w:asciiTheme="majorBidi" w:hAnsiTheme="majorBidi" w:cstheme="majorBidi"/>
          <w:szCs w:val="22"/>
        </w:rPr>
        <w:t xml:space="preserve"> produkci mléka pro lidskou spotřebu. </w:t>
      </w:r>
    </w:p>
    <w:p w14:paraId="3D0CF3A2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szCs w:val="22"/>
        </w:rPr>
      </w:pPr>
    </w:p>
    <w:p w14:paraId="34EB6A8A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4662FE0F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11.</w:t>
      </w:r>
      <w:r w:rsidRPr="00E6792C">
        <w:rPr>
          <w:rFonts w:asciiTheme="majorBidi" w:hAnsiTheme="majorBidi" w:cstheme="majorBidi"/>
        </w:rPr>
        <w:tab/>
        <w:t>Zvláštní opatření pro uchovávání</w:t>
      </w:r>
    </w:p>
    <w:p w14:paraId="5EB95BB1" w14:textId="77777777" w:rsidR="009A1A5E" w:rsidRPr="00E6792C" w:rsidRDefault="009A1A5E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7FF71C4" w14:textId="77777777" w:rsidR="009A1A5E" w:rsidRPr="00E6792C" w:rsidRDefault="00D34925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Uchovávejte mimo dohled a dosah dětí.</w:t>
      </w:r>
    </w:p>
    <w:p w14:paraId="6DBC2539" w14:textId="77777777" w:rsidR="009A1A5E" w:rsidRPr="00E6792C" w:rsidRDefault="009A1A5E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5ECDE50" w14:textId="77777777" w:rsidR="009A1A5E" w:rsidRPr="00E6792C" w:rsidRDefault="00D34925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Tento veterinární léčivý přípravek nevyžaduje žádné zvláštní podmínky uchovávání.</w:t>
      </w:r>
    </w:p>
    <w:p w14:paraId="4B197E66" w14:textId="77777777" w:rsidR="009A1A5E" w:rsidRPr="00E6792C" w:rsidRDefault="009A1A5E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C12F901" w14:textId="58C73A39" w:rsidR="009A1A5E" w:rsidRPr="00E6792C" w:rsidRDefault="00D34925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Nepoužívejte tento veterinární léčivý přípravek po uplynutí doby použitelnosti uvedené na etiketě </w:t>
      </w:r>
      <w:r w:rsidR="0002141E" w:rsidRPr="00E6792C">
        <w:rPr>
          <w:rFonts w:asciiTheme="majorBidi" w:hAnsiTheme="majorBidi" w:cstheme="majorBidi"/>
          <w:szCs w:val="22"/>
        </w:rPr>
        <w:t xml:space="preserve">nebo </w:t>
      </w:r>
      <w:r w:rsidR="0002141E" w:rsidRPr="00E6792C">
        <w:t>krabičce</w:t>
      </w:r>
      <w:r w:rsidR="0002141E" w:rsidRPr="00E6792C">
        <w:rPr>
          <w:rFonts w:asciiTheme="majorBidi" w:hAnsiTheme="majorBidi" w:cstheme="majorBidi"/>
          <w:szCs w:val="22"/>
        </w:rPr>
        <w:t xml:space="preserve"> </w:t>
      </w:r>
      <w:r w:rsidRPr="00E6792C">
        <w:rPr>
          <w:rFonts w:asciiTheme="majorBidi" w:hAnsiTheme="majorBidi" w:cstheme="majorBidi"/>
          <w:szCs w:val="22"/>
        </w:rPr>
        <w:t>po Exp. Doba použitelnosti končí posledním dnem v uvedeném měsíci.</w:t>
      </w:r>
    </w:p>
    <w:p w14:paraId="6EE76F0E" w14:textId="77777777" w:rsidR="009A1A5E" w:rsidRPr="00E6792C" w:rsidRDefault="009A1A5E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9C682B" w14:textId="77777777" w:rsidR="009A1A5E" w:rsidRPr="00E6792C" w:rsidRDefault="00D34925" w:rsidP="00D34925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Doba použitelnosti po prvním otevření vnitřního obalu: 28 dní.</w:t>
      </w:r>
    </w:p>
    <w:p w14:paraId="6E550BAA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FAD74FD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C6DEE0B" w14:textId="77777777" w:rsidR="009A1A5E" w:rsidRPr="00E6792C" w:rsidRDefault="00D34925" w:rsidP="00CA4740">
      <w:pPr>
        <w:pStyle w:val="Style1"/>
        <w:keepNext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12.</w:t>
      </w:r>
      <w:r w:rsidRPr="00E6792C">
        <w:rPr>
          <w:rFonts w:asciiTheme="majorBidi" w:hAnsiTheme="majorBidi" w:cstheme="majorBidi"/>
        </w:rPr>
        <w:tab/>
        <w:t>Zvláštní opatření pro likvidaci</w:t>
      </w:r>
    </w:p>
    <w:p w14:paraId="3051F78F" w14:textId="77777777" w:rsidR="009A1A5E" w:rsidRPr="00E6792C" w:rsidRDefault="009A1A5E" w:rsidP="00CA4740">
      <w:pPr>
        <w:keepNext/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3930170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Léčivé přípravky se nesmí likvidovat prostřednictvím odpadní vody či domovního odpadu.</w:t>
      </w:r>
    </w:p>
    <w:p w14:paraId="49AB1362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3136D72" w14:textId="77777777" w:rsidR="009A1A5E" w:rsidRPr="00E6792C" w:rsidRDefault="00D34925" w:rsidP="00D34925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B5A75E5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869B6F9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O možnostech likvidace nepotřebných léčivých přípravků se poraďte s vaším veterinárním lékařem nebo lékárníkem.</w:t>
      </w:r>
    </w:p>
    <w:p w14:paraId="4A9D2DB2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0AEEEB32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bCs/>
          <w:szCs w:val="22"/>
          <w:highlight w:val="lightGray"/>
        </w:rPr>
      </w:pPr>
    </w:p>
    <w:p w14:paraId="0AC1955D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13.</w:t>
      </w:r>
      <w:r w:rsidRPr="00E6792C">
        <w:rPr>
          <w:rFonts w:asciiTheme="majorBidi" w:hAnsiTheme="majorBidi" w:cstheme="majorBidi"/>
        </w:rPr>
        <w:tab/>
        <w:t>Klasifikace veterinárních léčivých přípravků</w:t>
      </w:r>
    </w:p>
    <w:p w14:paraId="3F8BCD1A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14840C0" w14:textId="77777777" w:rsidR="009A1A5E" w:rsidRPr="00E6792C" w:rsidRDefault="00D34925" w:rsidP="00D34925">
      <w:pPr>
        <w:numPr>
          <w:ilvl w:val="12"/>
          <w:numId w:val="0"/>
        </w:num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Veterinární léčivý přípravek je vydáván pouze na předpis.</w:t>
      </w:r>
    </w:p>
    <w:p w14:paraId="7BE8EB93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1A260E9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D6CA3E2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14.</w:t>
      </w:r>
      <w:r w:rsidRPr="00E6792C">
        <w:rPr>
          <w:rFonts w:asciiTheme="majorBidi" w:hAnsiTheme="majorBidi" w:cstheme="majorBidi"/>
        </w:rPr>
        <w:tab/>
        <w:t>Registrační čísla a velikosti balení</w:t>
      </w:r>
    </w:p>
    <w:p w14:paraId="0BD7FBC2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/>
          <w:bCs/>
          <w:szCs w:val="22"/>
          <w:u w:val="single"/>
        </w:rPr>
      </w:pPr>
    </w:p>
    <w:p w14:paraId="77E1EF1B" w14:textId="77777777" w:rsidR="009A1A5E" w:rsidRPr="00E90649" w:rsidRDefault="00D34925" w:rsidP="00E9064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90649">
        <w:rPr>
          <w:rFonts w:asciiTheme="majorBidi" w:hAnsiTheme="majorBidi" w:cstheme="majorBidi"/>
          <w:szCs w:val="22"/>
        </w:rPr>
        <w:t>96/021/</w:t>
      </w:r>
      <w:proofErr w:type="gramStart"/>
      <w:r w:rsidRPr="00E90649">
        <w:rPr>
          <w:rFonts w:asciiTheme="majorBidi" w:hAnsiTheme="majorBidi" w:cstheme="majorBidi"/>
          <w:szCs w:val="22"/>
        </w:rPr>
        <w:t>21-C</w:t>
      </w:r>
      <w:proofErr w:type="gramEnd"/>
    </w:p>
    <w:p w14:paraId="319ED067" w14:textId="77777777" w:rsidR="009A1A5E" w:rsidRPr="00E6792C" w:rsidRDefault="009A1A5E" w:rsidP="00D34925">
      <w:pPr>
        <w:pStyle w:val="Zkladntext"/>
        <w:jc w:val="left"/>
        <w:rPr>
          <w:rFonts w:asciiTheme="majorBidi" w:hAnsiTheme="majorBidi" w:cstheme="majorBidi"/>
          <w:b/>
          <w:bCs/>
          <w:szCs w:val="22"/>
        </w:rPr>
      </w:pPr>
    </w:p>
    <w:p w14:paraId="34ADC0FB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b/>
          <w:bCs/>
          <w:szCs w:val="22"/>
        </w:rPr>
      </w:pPr>
      <w:r w:rsidRPr="00E6792C">
        <w:rPr>
          <w:rFonts w:asciiTheme="majorBidi" w:hAnsiTheme="majorBidi" w:cstheme="majorBidi"/>
          <w:b/>
          <w:bCs/>
          <w:szCs w:val="22"/>
        </w:rPr>
        <w:t>Velikosti balení:</w:t>
      </w:r>
    </w:p>
    <w:p w14:paraId="08D1348E" w14:textId="77777777" w:rsidR="009A1A5E" w:rsidRPr="00E6792C" w:rsidRDefault="00D34925" w:rsidP="00D34925">
      <w:pPr>
        <w:pStyle w:val="Zkladntext"/>
        <w:ind w:right="-1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Papírová krabička obsahující 1 injekční lahvičku se 100 ml přípravku. </w:t>
      </w:r>
    </w:p>
    <w:p w14:paraId="5CD9D71E" w14:textId="77777777" w:rsidR="009A1A5E" w:rsidRPr="00E6792C" w:rsidRDefault="00D34925" w:rsidP="00D34925">
      <w:pPr>
        <w:pStyle w:val="Zkladntext"/>
        <w:ind w:right="-1"/>
        <w:jc w:val="left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 xml:space="preserve">Papírová krabička obsahující 1 injekční lahvičku s 250 ml přípravku. </w:t>
      </w:r>
    </w:p>
    <w:p w14:paraId="2C1E8832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A5BA807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Na trhu nemusí být všechny velikosti balení.</w:t>
      </w:r>
    </w:p>
    <w:p w14:paraId="1949E16C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259ADA6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56782BD" w14:textId="77777777" w:rsidR="009A1A5E" w:rsidRPr="00E6792C" w:rsidRDefault="00D34925" w:rsidP="00D34925">
      <w:pPr>
        <w:pStyle w:val="Style1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15.</w:t>
      </w:r>
      <w:r w:rsidRPr="00E6792C">
        <w:rPr>
          <w:rFonts w:asciiTheme="majorBidi" w:hAnsiTheme="majorBidi" w:cstheme="majorBidi"/>
        </w:rPr>
        <w:tab/>
        <w:t>Datum poslední revize příbalové informace</w:t>
      </w:r>
    </w:p>
    <w:p w14:paraId="6F0F406F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727CFDF" w14:textId="689AED8C" w:rsidR="009A1A5E" w:rsidRPr="00E6792C" w:rsidRDefault="000D4868" w:rsidP="00D34925">
      <w:pPr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0</w:t>
      </w:r>
      <w:r w:rsidR="00CA4740" w:rsidRPr="00E6792C">
        <w:rPr>
          <w:rFonts w:asciiTheme="majorBidi" w:hAnsiTheme="majorBidi" w:cstheme="majorBidi"/>
          <w:szCs w:val="22"/>
        </w:rPr>
        <w:t>6</w:t>
      </w:r>
      <w:r w:rsidRPr="00E6792C">
        <w:rPr>
          <w:rFonts w:asciiTheme="majorBidi" w:hAnsiTheme="majorBidi" w:cstheme="majorBidi"/>
          <w:szCs w:val="22"/>
        </w:rPr>
        <w:t>/2026</w:t>
      </w:r>
    </w:p>
    <w:p w14:paraId="0D5E6712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9A4D4D5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B9B8EE2" w14:textId="77777777" w:rsidR="00E90649" w:rsidRDefault="00E90649" w:rsidP="00E90649">
      <w:pPr>
        <w:spacing w:line="240" w:lineRule="auto"/>
        <w:jc w:val="both"/>
        <w:rPr>
          <w:rFonts w:asciiTheme="minorHAnsi" w:hAnsiTheme="minorHAnsi" w:cstheme="minorHAnsi"/>
        </w:rPr>
      </w:pPr>
      <w:bookmarkStart w:id="2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Start w:id="3" w:name="_Hlk148432335"/>
      <w:r w:rsidRPr="00FF5DBB">
        <w:rPr>
          <w:rFonts w:asciiTheme="minorHAnsi" w:hAnsiTheme="minorHAnsi" w:cstheme="minorHAnsi"/>
        </w:rPr>
        <w:t xml:space="preserve"> </w:t>
      </w:r>
    </w:p>
    <w:p w14:paraId="09C54FF8" w14:textId="77777777" w:rsidR="00E90649" w:rsidRDefault="00E90649" w:rsidP="00E90649">
      <w:pPr>
        <w:spacing w:line="240" w:lineRule="auto"/>
        <w:jc w:val="both"/>
        <w:rPr>
          <w:rFonts w:asciiTheme="minorHAnsi" w:hAnsiTheme="minorHAnsi" w:cstheme="minorHAnsi"/>
        </w:rPr>
      </w:pPr>
    </w:p>
    <w:p w14:paraId="719984BA" w14:textId="77777777" w:rsidR="00E90649" w:rsidRPr="002252DC" w:rsidRDefault="00E90649" w:rsidP="00E90649">
      <w:pPr>
        <w:spacing w:line="240" w:lineRule="auto"/>
        <w:jc w:val="both"/>
      </w:pPr>
      <w:bookmarkStart w:id="4" w:name="_Hlk230348931"/>
      <w:r w:rsidRPr="002252DC">
        <w:t>Podrobné informace o tomto veterinárním léčivém přípravku naleznete také v národní databázi (</w:t>
      </w:r>
      <w:hyperlink r:id="rId9" w:history="1">
        <w:r w:rsidRPr="002252DC">
          <w:rPr>
            <w:rStyle w:val="Hypertextovodkaz"/>
          </w:rPr>
          <w:t>https://www.uskvbl.cz</w:t>
        </w:r>
      </w:hyperlink>
      <w:r w:rsidRPr="002252DC">
        <w:t>).</w:t>
      </w:r>
    </w:p>
    <w:p w14:paraId="048FB584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bookmarkStart w:id="5" w:name="_GoBack"/>
      <w:bookmarkEnd w:id="2"/>
      <w:bookmarkEnd w:id="3"/>
      <w:bookmarkEnd w:id="4"/>
      <w:bookmarkEnd w:id="5"/>
    </w:p>
    <w:p w14:paraId="18334AE5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02CCE0AD" w14:textId="77777777" w:rsidR="009A1A5E" w:rsidRPr="00E6792C" w:rsidRDefault="00D34925" w:rsidP="00D34925">
      <w:pPr>
        <w:pStyle w:val="Style1"/>
        <w:keepNext/>
        <w:ind w:left="562" w:hanging="562"/>
        <w:rPr>
          <w:rFonts w:asciiTheme="majorBidi" w:hAnsiTheme="majorBidi" w:cstheme="majorBidi"/>
        </w:rPr>
      </w:pPr>
      <w:r w:rsidRPr="00E6792C">
        <w:rPr>
          <w:rFonts w:asciiTheme="majorBidi" w:hAnsiTheme="majorBidi" w:cstheme="majorBidi"/>
          <w:highlight w:val="lightGray"/>
        </w:rPr>
        <w:t>16.</w:t>
      </w:r>
      <w:r w:rsidRPr="00E6792C">
        <w:rPr>
          <w:rFonts w:asciiTheme="majorBidi" w:hAnsiTheme="majorBidi" w:cstheme="majorBidi"/>
        </w:rPr>
        <w:tab/>
        <w:t>Kontaktní údaje</w:t>
      </w:r>
    </w:p>
    <w:p w14:paraId="08D40A25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95D0E2" w14:textId="77777777" w:rsidR="009A1A5E" w:rsidRPr="00E6792C" w:rsidRDefault="00D34925" w:rsidP="00D34925">
      <w:pPr>
        <w:spacing w:line="240" w:lineRule="auto"/>
        <w:rPr>
          <w:rFonts w:asciiTheme="majorBidi" w:hAnsiTheme="majorBidi" w:cstheme="majorBidi"/>
          <w:iCs/>
          <w:szCs w:val="22"/>
        </w:rPr>
      </w:pPr>
      <w:bookmarkStart w:id="6" w:name="_Hlk73552578"/>
      <w:r w:rsidRPr="00E6792C">
        <w:rPr>
          <w:rFonts w:asciiTheme="majorBidi" w:hAnsiTheme="majorBidi" w:cstheme="majorBidi"/>
          <w:iCs/>
          <w:szCs w:val="22"/>
          <w:u w:val="single"/>
        </w:rPr>
        <w:t>Držitel rozhodnutí o registraci</w:t>
      </w:r>
      <w:r w:rsidRPr="00E6792C">
        <w:rPr>
          <w:rFonts w:asciiTheme="majorBidi" w:hAnsiTheme="majorBidi" w:cstheme="majorBidi"/>
          <w:szCs w:val="22"/>
        </w:rPr>
        <w:t>:</w:t>
      </w:r>
    </w:p>
    <w:bookmarkEnd w:id="6"/>
    <w:p w14:paraId="137B5BB7" w14:textId="77777777" w:rsidR="009A1A5E" w:rsidRPr="00E6792C" w:rsidRDefault="00D34925" w:rsidP="00D3492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szCs w:val="22"/>
          <w:lang w:eastAsia="en-GB"/>
        </w:rPr>
      </w:pP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Laboratorios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Syva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, S.A. </w:t>
      </w:r>
    </w:p>
    <w:p w14:paraId="7E7A3C11" w14:textId="77777777" w:rsidR="009A1A5E" w:rsidRPr="00E6792C" w:rsidRDefault="00D34925" w:rsidP="00D3492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szCs w:val="22"/>
          <w:lang w:eastAsia="en-GB"/>
        </w:rPr>
      </w:pP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Calle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Marqués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de la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Ensenada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, 16 </w:t>
      </w:r>
    </w:p>
    <w:p w14:paraId="325F480B" w14:textId="77777777" w:rsidR="009A1A5E" w:rsidRPr="00E6792C" w:rsidRDefault="00D34925" w:rsidP="00D3492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szCs w:val="22"/>
          <w:lang w:eastAsia="en-GB"/>
        </w:rPr>
      </w:pPr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28004 Madrid </w:t>
      </w:r>
    </w:p>
    <w:p w14:paraId="0C5BAF2E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  <w:lang w:eastAsia="es-ES"/>
        </w:rPr>
      </w:pPr>
      <w:r w:rsidRPr="00E6792C">
        <w:rPr>
          <w:rFonts w:asciiTheme="majorBidi" w:hAnsiTheme="majorBidi" w:cstheme="majorBidi"/>
          <w:szCs w:val="22"/>
          <w:lang w:eastAsia="es-ES"/>
        </w:rPr>
        <w:t>Španělsko</w:t>
      </w:r>
    </w:p>
    <w:p w14:paraId="345C41BE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252DB2E" w14:textId="77777777" w:rsidR="009A1A5E" w:rsidRPr="00E6792C" w:rsidRDefault="00D34925" w:rsidP="00D34925">
      <w:pPr>
        <w:spacing w:line="240" w:lineRule="auto"/>
        <w:rPr>
          <w:rFonts w:asciiTheme="majorBidi" w:hAnsiTheme="majorBidi" w:cstheme="majorBidi"/>
          <w:bCs/>
          <w:szCs w:val="22"/>
        </w:rPr>
      </w:pPr>
      <w:r w:rsidRPr="00E6792C">
        <w:rPr>
          <w:rFonts w:asciiTheme="majorBidi" w:hAnsiTheme="majorBidi" w:cstheme="majorBidi"/>
          <w:bCs/>
          <w:szCs w:val="22"/>
          <w:u w:val="single"/>
        </w:rPr>
        <w:t>Výrobce odpovědný za uvolnění šarže</w:t>
      </w:r>
      <w:r w:rsidRPr="00E6792C">
        <w:rPr>
          <w:rFonts w:asciiTheme="majorBidi" w:hAnsiTheme="majorBidi" w:cstheme="majorBidi"/>
          <w:szCs w:val="22"/>
        </w:rPr>
        <w:t xml:space="preserve">: </w:t>
      </w:r>
    </w:p>
    <w:p w14:paraId="4FAF66A6" w14:textId="77777777" w:rsidR="009A1A5E" w:rsidRPr="00E6792C" w:rsidRDefault="00D34925" w:rsidP="00D3492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szCs w:val="22"/>
          <w:lang w:eastAsia="en-GB"/>
        </w:rPr>
      </w:pP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Laboratorios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Syva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, S.A. </w:t>
      </w:r>
    </w:p>
    <w:p w14:paraId="1701E093" w14:textId="77777777" w:rsidR="009A1A5E" w:rsidRPr="00E6792C" w:rsidRDefault="00D34925" w:rsidP="00D3492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szCs w:val="22"/>
          <w:lang w:eastAsia="en-GB"/>
        </w:rPr>
      </w:pP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Avenida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del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Párroco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Pablo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Díez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, 49-57 </w:t>
      </w:r>
    </w:p>
    <w:p w14:paraId="3E111AF4" w14:textId="77777777" w:rsidR="009A1A5E" w:rsidRPr="00E6792C" w:rsidRDefault="00D34925" w:rsidP="00D3492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szCs w:val="22"/>
          <w:lang w:eastAsia="en-GB"/>
        </w:rPr>
      </w:pPr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San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Andrés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del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  <w:proofErr w:type="spellStart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>Rabanedo</w:t>
      </w:r>
      <w:proofErr w:type="spellEnd"/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 </w:t>
      </w:r>
    </w:p>
    <w:p w14:paraId="3143DB48" w14:textId="77777777" w:rsidR="009A1A5E" w:rsidRPr="00E6792C" w:rsidRDefault="00D34925" w:rsidP="00D34925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/>
          <w:szCs w:val="22"/>
          <w:lang w:eastAsia="en-GB"/>
        </w:rPr>
      </w:pPr>
      <w:r w:rsidRPr="00E6792C">
        <w:rPr>
          <w:rFonts w:asciiTheme="majorBidi" w:hAnsiTheme="majorBidi" w:cstheme="majorBidi"/>
          <w:color w:val="000000"/>
          <w:szCs w:val="22"/>
          <w:lang w:eastAsia="en-GB"/>
        </w:rPr>
        <w:t xml:space="preserve">24010 León </w:t>
      </w:r>
    </w:p>
    <w:p w14:paraId="13402E6D" w14:textId="77777777" w:rsidR="009A1A5E" w:rsidRPr="00E6792C" w:rsidRDefault="00D34925" w:rsidP="00D34925">
      <w:pPr>
        <w:pStyle w:val="Zkladntext"/>
        <w:jc w:val="left"/>
        <w:rPr>
          <w:rFonts w:asciiTheme="majorBidi" w:hAnsiTheme="majorBidi" w:cstheme="majorBidi"/>
          <w:szCs w:val="22"/>
          <w:lang w:eastAsia="es-ES"/>
        </w:rPr>
      </w:pPr>
      <w:r w:rsidRPr="00E6792C">
        <w:rPr>
          <w:rFonts w:asciiTheme="majorBidi" w:hAnsiTheme="majorBidi" w:cstheme="majorBidi"/>
          <w:szCs w:val="22"/>
          <w:lang w:eastAsia="es-ES"/>
        </w:rPr>
        <w:t>Španělsko</w:t>
      </w:r>
    </w:p>
    <w:p w14:paraId="2041DA33" w14:textId="77777777" w:rsidR="009A1A5E" w:rsidRPr="00E6792C" w:rsidRDefault="009A1A5E" w:rsidP="00D34925">
      <w:pPr>
        <w:spacing w:line="240" w:lineRule="auto"/>
        <w:rPr>
          <w:rFonts w:asciiTheme="majorBidi" w:hAnsiTheme="majorBidi" w:cstheme="majorBidi"/>
          <w:bCs/>
          <w:szCs w:val="22"/>
        </w:rPr>
      </w:pPr>
    </w:p>
    <w:p w14:paraId="195C9EC3" w14:textId="77777777" w:rsidR="009A1A5E" w:rsidRPr="00E6792C" w:rsidRDefault="00D34925" w:rsidP="00D34925">
      <w:pPr>
        <w:pStyle w:val="Style4"/>
        <w:spacing w:line="240" w:lineRule="auto"/>
        <w:rPr>
          <w:rFonts w:asciiTheme="majorBidi" w:hAnsiTheme="majorBidi" w:cstheme="majorBidi"/>
        </w:rPr>
      </w:pPr>
      <w:bookmarkStart w:id="7" w:name="_Hlk73552585"/>
      <w:r w:rsidRPr="00E6792C">
        <w:rPr>
          <w:rFonts w:asciiTheme="majorBidi" w:hAnsiTheme="majorBidi" w:cstheme="majorBidi"/>
          <w:u w:val="single"/>
        </w:rPr>
        <w:t>Místní zástupci a kontaktní údaje pro hlášení podezření na nežádoucí účinky</w:t>
      </w:r>
      <w:r w:rsidRPr="00E6792C">
        <w:rPr>
          <w:rFonts w:asciiTheme="majorBidi" w:hAnsiTheme="majorBidi" w:cstheme="majorBidi"/>
        </w:rPr>
        <w:t>:</w:t>
      </w:r>
    </w:p>
    <w:bookmarkEnd w:id="7"/>
    <w:p w14:paraId="11435637" w14:textId="0AB481FD" w:rsidR="009A1A5E" w:rsidRPr="00E6792C" w:rsidRDefault="009A1A5E" w:rsidP="00D34925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75D8AB0F" w14:textId="77777777" w:rsidR="00996E7D" w:rsidRPr="00E6792C" w:rsidRDefault="00996E7D" w:rsidP="00996E7D">
      <w:pPr>
        <w:rPr>
          <w:bCs/>
          <w:szCs w:val="22"/>
        </w:rPr>
      </w:pPr>
      <w:proofErr w:type="spellStart"/>
      <w:r w:rsidRPr="00E6792C">
        <w:rPr>
          <w:bCs/>
          <w:szCs w:val="22"/>
        </w:rPr>
        <w:t>Laboratorios</w:t>
      </w:r>
      <w:proofErr w:type="spellEnd"/>
      <w:r w:rsidRPr="00E6792C">
        <w:rPr>
          <w:bCs/>
          <w:szCs w:val="22"/>
        </w:rPr>
        <w:t xml:space="preserve"> </w:t>
      </w:r>
      <w:proofErr w:type="spellStart"/>
      <w:r w:rsidRPr="00E6792C">
        <w:rPr>
          <w:bCs/>
          <w:szCs w:val="22"/>
        </w:rPr>
        <w:t>Syva</w:t>
      </w:r>
      <w:proofErr w:type="spellEnd"/>
      <w:r w:rsidRPr="00E6792C">
        <w:rPr>
          <w:bCs/>
          <w:szCs w:val="22"/>
        </w:rPr>
        <w:t xml:space="preserve"> S.A.</w:t>
      </w:r>
    </w:p>
    <w:p w14:paraId="14274960" w14:textId="77777777" w:rsidR="00996E7D" w:rsidRPr="00E6792C" w:rsidRDefault="00996E7D" w:rsidP="00996E7D">
      <w:pPr>
        <w:rPr>
          <w:bCs/>
          <w:szCs w:val="22"/>
        </w:rPr>
      </w:pPr>
      <w:proofErr w:type="spellStart"/>
      <w:r w:rsidRPr="00E6792C">
        <w:rPr>
          <w:bCs/>
          <w:szCs w:val="22"/>
        </w:rPr>
        <w:t>Parque</w:t>
      </w:r>
      <w:proofErr w:type="spellEnd"/>
      <w:r w:rsidRPr="00E6792C">
        <w:rPr>
          <w:bCs/>
          <w:szCs w:val="22"/>
        </w:rPr>
        <w:t xml:space="preserve"> </w:t>
      </w:r>
      <w:proofErr w:type="spellStart"/>
      <w:r w:rsidRPr="00E6792C">
        <w:rPr>
          <w:bCs/>
          <w:szCs w:val="22"/>
        </w:rPr>
        <w:t>Tecnológico</w:t>
      </w:r>
      <w:proofErr w:type="spellEnd"/>
      <w:r w:rsidRPr="00E6792C">
        <w:rPr>
          <w:bCs/>
          <w:szCs w:val="22"/>
        </w:rPr>
        <w:t xml:space="preserve"> De León</w:t>
      </w:r>
    </w:p>
    <w:p w14:paraId="4236A325" w14:textId="77777777" w:rsidR="00996E7D" w:rsidRPr="00E6792C" w:rsidRDefault="00996E7D" w:rsidP="00996E7D">
      <w:pPr>
        <w:rPr>
          <w:bCs/>
          <w:szCs w:val="22"/>
        </w:rPr>
      </w:pPr>
      <w:proofErr w:type="spellStart"/>
      <w:r w:rsidRPr="00E6792C">
        <w:rPr>
          <w:bCs/>
          <w:szCs w:val="22"/>
        </w:rPr>
        <w:t>Calle</w:t>
      </w:r>
      <w:proofErr w:type="spellEnd"/>
      <w:r w:rsidRPr="00E6792C">
        <w:rPr>
          <w:bCs/>
          <w:szCs w:val="22"/>
        </w:rPr>
        <w:t xml:space="preserve"> </w:t>
      </w:r>
      <w:proofErr w:type="spellStart"/>
      <w:r w:rsidRPr="00E6792C">
        <w:rPr>
          <w:bCs/>
          <w:szCs w:val="22"/>
        </w:rPr>
        <w:t>Nicostrato</w:t>
      </w:r>
      <w:proofErr w:type="spellEnd"/>
      <w:r w:rsidRPr="00E6792C">
        <w:rPr>
          <w:bCs/>
          <w:szCs w:val="22"/>
        </w:rPr>
        <w:t xml:space="preserve"> Vela M15-M16</w:t>
      </w:r>
    </w:p>
    <w:p w14:paraId="451D8FEB" w14:textId="77777777" w:rsidR="00996E7D" w:rsidRPr="00E6792C" w:rsidRDefault="00996E7D" w:rsidP="00996E7D">
      <w:pPr>
        <w:rPr>
          <w:bCs/>
          <w:szCs w:val="22"/>
        </w:rPr>
      </w:pPr>
      <w:r w:rsidRPr="00E6792C">
        <w:rPr>
          <w:bCs/>
          <w:szCs w:val="22"/>
        </w:rPr>
        <w:t>24009 León</w:t>
      </w:r>
    </w:p>
    <w:p w14:paraId="0690B471" w14:textId="77777777" w:rsidR="00996E7D" w:rsidRPr="00E6792C" w:rsidRDefault="00996E7D" w:rsidP="00996E7D">
      <w:pPr>
        <w:pStyle w:val="Zkladntext"/>
        <w:jc w:val="left"/>
        <w:rPr>
          <w:rFonts w:asciiTheme="majorBidi" w:hAnsiTheme="majorBidi" w:cstheme="majorBidi"/>
          <w:szCs w:val="22"/>
          <w:lang w:eastAsia="es-ES"/>
        </w:rPr>
      </w:pPr>
      <w:r w:rsidRPr="00E6792C">
        <w:rPr>
          <w:rFonts w:asciiTheme="majorBidi" w:hAnsiTheme="majorBidi" w:cstheme="majorBidi"/>
          <w:szCs w:val="22"/>
          <w:lang w:eastAsia="es-ES"/>
        </w:rPr>
        <w:t>Španělsko</w:t>
      </w:r>
    </w:p>
    <w:p w14:paraId="64CB2972" w14:textId="77777777" w:rsidR="00996E7D" w:rsidRPr="00E6792C" w:rsidRDefault="00996E7D" w:rsidP="00996E7D">
      <w:pPr>
        <w:rPr>
          <w:bCs/>
          <w:szCs w:val="22"/>
        </w:rPr>
      </w:pPr>
      <w:r w:rsidRPr="00E6792C">
        <w:rPr>
          <w:bCs/>
          <w:szCs w:val="22"/>
        </w:rPr>
        <w:t>+34 987 800 800</w:t>
      </w:r>
    </w:p>
    <w:p w14:paraId="6101D78C" w14:textId="77777777" w:rsidR="00996E7D" w:rsidRPr="00E6792C" w:rsidRDefault="00996E7D" w:rsidP="00996E7D">
      <w:pPr>
        <w:rPr>
          <w:bCs/>
          <w:szCs w:val="22"/>
        </w:rPr>
      </w:pPr>
      <w:hyperlink r:id="rId10" w:history="1">
        <w:r w:rsidRPr="00E6792C">
          <w:rPr>
            <w:rStyle w:val="Hypertextovodkaz"/>
            <w:bCs/>
            <w:szCs w:val="22"/>
          </w:rPr>
          <w:t>farmacovigilancia@syva.es</w:t>
        </w:r>
      </w:hyperlink>
    </w:p>
    <w:p w14:paraId="49EB7A3C" w14:textId="77777777" w:rsidR="00996E7D" w:rsidRPr="00E6792C" w:rsidRDefault="00996E7D" w:rsidP="00D34925">
      <w:pPr>
        <w:tabs>
          <w:tab w:val="clear" w:pos="567"/>
          <w:tab w:val="left" w:pos="0"/>
        </w:tabs>
        <w:spacing w:line="240" w:lineRule="auto"/>
        <w:rPr>
          <w:rFonts w:asciiTheme="majorBidi" w:hAnsiTheme="majorBidi" w:cstheme="majorBidi"/>
          <w:bCs/>
          <w:szCs w:val="22"/>
        </w:rPr>
      </w:pPr>
    </w:p>
    <w:p w14:paraId="5F4F385F" w14:textId="77777777" w:rsidR="009A1A5E" w:rsidRPr="00E6792C" w:rsidRDefault="00D34925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E6792C">
        <w:rPr>
          <w:rFonts w:asciiTheme="majorBidi" w:hAnsiTheme="majorBidi" w:cstheme="majorBidi"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7D327DC8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151069BB" w14:textId="77777777" w:rsidR="009A1A5E" w:rsidRPr="00E6792C" w:rsidRDefault="009A1A5E" w:rsidP="00D34925">
      <w:pPr>
        <w:pStyle w:val="Style1"/>
        <w:rPr>
          <w:rFonts w:asciiTheme="majorBidi" w:hAnsiTheme="majorBidi" w:cstheme="majorBidi"/>
        </w:rPr>
      </w:pPr>
    </w:p>
    <w:p w14:paraId="01F63D22" w14:textId="77777777" w:rsidR="009A1A5E" w:rsidRPr="00E6792C" w:rsidRDefault="009A1A5E" w:rsidP="00D34925">
      <w:pPr>
        <w:tabs>
          <w:tab w:val="clear" w:pos="567"/>
        </w:tabs>
        <w:spacing w:line="240" w:lineRule="auto"/>
        <w:rPr>
          <w:szCs w:val="22"/>
        </w:rPr>
      </w:pPr>
    </w:p>
    <w:sectPr w:rsidR="009A1A5E" w:rsidRPr="00E6792C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2C136" w14:textId="77777777" w:rsidR="00BF5C51" w:rsidRDefault="00BF5C51">
      <w:pPr>
        <w:spacing w:line="240" w:lineRule="auto"/>
      </w:pPr>
      <w:r>
        <w:separator/>
      </w:r>
    </w:p>
  </w:endnote>
  <w:endnote w:type="continuationSeparator" w:id="0">
    <w:p w14:paraId="74EEEA6D" w14:textId="77777777" w:rsidR="00BF5C51" w:rsidRDefault="00BF5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D2EF" w14:textId="77777777" w:rsidR="009A1A5E" w:rsidRDefault="00D34925">
    <w:pPr>
      <w:pStyle w:val="Zpat"/>
      <w:tabs>
        <w:tab w:val="clear" w:pos="8930"/>
        <w:tab w:val="right" w:pos="8931"/>
      </w:tabs>
      <w:jc w:val="cent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fldChar w:fldCharType="begin"/>
    </w:r>
    <w:r>
      <w:rPr>
        <w:rFonts w:asciiTheme="minorBidi" w:hAnsiTheme="minorBidi" w:cstheme="minorBidi"/>
      </w:rPr>
      <w:instrText xml:space="preserve"> PAGE  \* MERGEFORMAT </w:instrText>
    </w:r>
    <w:r>
      <w:rPr>
        <w:rFonts w:asciiTheme="minorBidi" w:hAnsiTheme="minorBidi" w:cstheme="minorBidi"/>
      </w:rPr>
      <w:fldChar w:fldCharType="separate"/>
    </w:r>
    <w:r>
      <w:rPr>
        <w:rFonts w:asciiTheme="minorBidi" w:hAnsiTheme="minorBidi" w:cstheme="minorBidi"/>
        <w:noProof/>
      </w:rPr>
      <w:t>25</w:t>
    </w:r>
    <w:r>
      <w:rPr>
        <w:rFonts w:asciiTheme="minorBidi" w:hAnsiTheme="minorBidi" w:cstheme="min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910F" w14:textId="77777777" w:rsidR="009A1A5E" w:rsidRDefault="00D3492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F4038" w14:textId="77777777" w:rsidR="00BF5C51" w:rsidRDefault="00BF5C51">
      <w:pPr>
        <w:spacing w:line="240" w:lineRule="auto"/>
      </w:pPr>
      <w:r>
        <w:separator/>
      </w:r>
    </w:p>
  </w:footnote>
  <w:footnote w:type="continuationSeparator" w:id="0">
    <w:p w14:paraId="13377E7B" w14:textId="77777777" w:rsidR="00BF5C51" w:rsidRDefault="00BF5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DF5F" w14:textId="2ECC155A" w:rsidR="005C0C5F" w:rsidRDefault="005C0C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80E3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E0E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2A6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3A8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EAD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89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608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04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380B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000C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444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80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B4A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61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6A3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EA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08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E5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8E0B7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D785A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7A84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414B1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8C521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4AAF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476A8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B36AE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60A7F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BD24E8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354EB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FC037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9A7EA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26D4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0AEB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404C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8D24B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4DCD24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AE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A9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8AA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A03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76D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2E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67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8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C9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92067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9EB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3814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C27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94EB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E3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86C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DC95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FAC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01A4D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90E6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96221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C03A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E6280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5CF0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FCA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96D1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FA252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1043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9E691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209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AE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4E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82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8C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22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A5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06A30"/>
    <w:multiLevelType w:val="hybridMultilevel"/>
    <w:tmpl w:val="E2F2FF14"/>
    <w:lvl w:ilvl="0" w:tplc="46DCE5DA">
      <w:start w:val="1"/>
      <w:numFmt w:val="decimal"/>
      <w:lvlText w:val="%1."/>
      <w:lvlJc w:val="left"/>
      <w:pPr>
        <w:ind w:left="686" w:hanging="568"/>
      </w:pPr>
      <w:rPr>
        <w:rFonts w:hint="default"/>
        <w:w w:val="99"/>
        <w:highlight w:val="lightGray"/>
      </w:rPr>
    </w:lvl>
    <w:lvl w:ilvl="1" w:tplc="6E6492B4">
      <w:numFmt w:val="bullet"/>
      <w:lvlText w:val="•"/>
      <w:lvlJc w:val="left"/>
      <w:pPr>
        <w:ind w:left="1533" w:hanging="568"/>
      </w:pPr>
      <w:rPr>
        <w:rFonts w:hint="default"/>
      </w:rPr>
    </w:lvl>
    <w:lvl w:ilvl="2" w:tplc="9E5EE286">
      <w:numFmt w:val="bullet"/>
      <w:lvlText w:val="•"/>
      <w:lvlJc w:val="left"/>
      <w:pPr>
        <w:ind w:left="2387" w:hanging="568"/>
      </w:pPr>
      <w:rPr>
        <w:rFonts w:hint="default"/>
      </w:rPr>
    </w:lvl>
    <w:lvl w:ilvl="3" w:tplc="B930129A">
      <w:numFmt w:val="bullet"/>
      <w:lvlText w:val="•"/>
      <w:lvlJc w:val="left"/>
      <w:pPr>
        <w:ind w:left="3241" w:hanging="568"/>
      </w:pPr>
      <w:rPr>
        <w:rFonts w:hint="default"/>
      </w:rPr>
    </w:lvl>
    <w:lvl w:ilvl="4" w:tplc="081A394A">
      <w:numFmt w:val="bullet"/>
      <w:lvlText w:val="•"/>
      <w:lvlJc w:val="left"/>
      <w:pPr>
        <w:ind w:left="4095" w:hanging="568"/>
      </w:pPr>
      <w:rPr>
        <w:rFonts w:hint="default"/>
      </w:rPr>
    </w:lvl>
    <w:lvl w:ilvl="5" w:tplc="5FBC15E4">
      <w:numFmt w:val="bullet"/>
      <w:lvlText w:val="•"/>
      <w:lvlJc w:val="left"/>
      <w:pPr>
        <w:ind w:left="4949" w:hanging="568"/>
      </w:pPr>
      <w:rPr>
        <w:rFonts w:hint="default"/>
      </w:rPr>
    </w:lvl>
    <w:lvl w:ilvl="6" w:tplc="24B22318">
      <w:numFmt w:val="bullet"/>
      <w:lvlText w:val="•"/>
      <w:lvlJc w:val="left"/>
      <w:pPr>
        <w:ind w:left="5803" w:hanging="568"/>
      </w:pPr>
      <w:rPr>
        <w:rFonts w:hint="default"/>
      </w:rPr>
    </w:lvl>
    <w:lvl w:ilvl="7" w:tplc="B0E4A50C">
      <w:numFmt w:val="bullet"/>
      <w:lvlText w:val="•"/>
      <w:lvlJc w:val="left"/>
      <w:pPr>
        <w:ind w:left="6656" w:hanging="568"/>
      </w:pPr>
      <w:rPr>
        <w:rFonts w:hint="default"/>
      </w:rPr>
    </w:lvl>
    <w:lvl w:ilvl="8" w:tplc="27E296CE">
      <w:numFmt w:val="bullet"/>
      <w:lvlText w:val="•"/>
      <w:lvlJc w:val="left"/>
      <w:pPr>
        <w:ind w:left="7510" w:hanging="568"/>
      </w:pPr>
      <w:rPr>
        <w:rFonts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A7864E0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3506A0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C486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2F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E0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05B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46C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4C3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302E0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7CD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445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A2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85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E4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27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0D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20F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5883B5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769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C24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76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89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805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AEF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6C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4B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A52E5A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854A6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E9C64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E74301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F60468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7006B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C068E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722097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383D6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172AF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FC5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169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D8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26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25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80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44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DC8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49861D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2C4659A" w:tentative="1">
      <w:start w:val="1"/>
      <w:numFmt w:val="lowerLetter"/>
      <w:lvlText w:val="%2."/>
      <w:lvlJc w:val="left"/>
      <w:pPr>
        <w:ind w:left="1440" w:hanging="360"/>
      </w:pPr>
    </w:lvl>
    <w:lvl w:ilvl="2" w:tplc="3276303C" w:tentative="1">
      <w:start w:val="1"/>
      <w:numFmt w:val="lowerRoman"/>
      <w:lvlText w:val="%3."/>
      <w:lvlJc w:val="right"/>
      <w:pPr>
        <w:ind w:left="2160" w:hanging="180"/>
      </w:pPr>
    </w:lvl>
    <w:lvl w:ilvl="3" w:tplc="B770BDB2" w:tentative="1">
      <w:start w:val="1"/>
      <w:numFmt w:val="decimal"/>
      <w:lvlText w:val="%4."/>
      <w:lvlJc w:val="left"/>
      <w:pPr>
        <w:ind w:left="2880" w:hanging="360"/>
      </w:pPr>
    </w:lvl>
    <w:lvl w:ilvl="4" w:tplc="D82A5C8A" w:tentative="1">
      <w:start w:val="1"/>
      <w:numFmt w:val="lowerLetter"/>
      <w:lvlText w:val="%5."/>
      <w:lvlJc w:val="left"/>
      <w:pPr>
        <w:ind w:left="3600" w:hanging="360"/>
      </w:pPr>
    </w:lvl>
    <w:lvl w:ilvl="5" w:tplc="B002E1EA" w:tentative="1">
      <w:start w:val="1"/>
      <w:numFmt w:val="lowerRoman"/>
      <w:lvlText w:val="%6."/>
      <w:lvlJc w:val="right"/>
      <w:pPr>
        <w:ind w:left="4320" w:hanging="180"/>
      </w:pPr>
    </w:lvl>
    <w:lvl w:ilvl="6" w:tplc="5B5A2932" w:tentative="1">
      <w:start w:val="1"/>
      <w:numFmt w:val="decimal"/>
      <w:lvlText w:val="%7."/>
      <w:lvlJc w:val="left"/>
      <w:pPr>
        <w:ind w:left="5040" w:hanging="360"/>
      </w:pPr>
    </w:lvl>
    <w:lvl w:ilvl="7" w:tplc="DA4426EC" w:tentative="1">
      <w:start w:val="1"/>
      <w:numFmt w:val="lowerLetter"/>
      <w:lvlText w:val="%8."/>
      <w:lvlJc w:val="left"/>
      <w:pPr>
        <w:ind w:left="5760" w:hanging="360"/>
      </w:pPr>
    </w:lvl>
    <w:lvl w:ilvl="8" w:tplc="AF4C8F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8C2A87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C94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68C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2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8D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EF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4E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0E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624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340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FA3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48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49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AC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AB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C2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CF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6A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BE4A969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F289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3AD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CA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00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02B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B20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CC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A2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752F362">
      <w:start w:val="1"/>
      <w:numFmt w:val="decimal"/>
      <w:lvlText w:val="%1."/>
      <w:lvlJc w:val="left"/>
      <w:pPr>
        <w:ind w:left="720" w:hanging="360"/>
      </w:pPr>
    </w:lvl>
    <w:lvl w:ilvl="1" w:tplc="B21C8384" w:tentative="1">
      <w:start w:val="1"/>
      <w:numFmt w:val="lowerLetter"/>
      <w:lvlText w:val="%2."/>
      <w:lvlJc w:val="left"/>
      <w:pPr>
        <w:ind w:left="1440" w:hanging="360"/>
      </w:pPr>
    </w:lvl>
    <w:lvl w:ilvl="2" w:tplc="05CCD4A0" w:tentative="1">
      <w:start w:val="1"/>
      <w:numFmt w:val="lowerRoman"/>
      <w:lvlText w:val="%3."/>
      <w:lvlJc w:val="right"/>
      <w:pPr>
        <w:ind w:left="2160" w:hanging="180"/>
      </w:pPr>
    </w:lvl>
    <w:lvl w:ilvl="3" w:tplc="85C2FFF0" w:tentative="1">
      <w:start w:val="1"/>
      <w:numFmt w:val="decimal"/>
      <w:lvlText w:val="%4."/>
      <w:lvlJc w:val="left"/>
      <w:pPr>
        <w:ind w:left="2880" w:hanging="360"/>
      </w:pPr>
    </w:lvl>
    <w:lvl w:ilvl="4" w:tplc="33187E0E" w:tentative="1">
      <w:start w:val="1"/>
      <w:numFmt w:val="lowerLetter"/>
      <w:lvlText w:val="%5."/>
      <w:lvlJc w:val="left"/>
      <w:pPr>
        <w:ind w:left="3600" w:hanging="360"/>
      </w:pPr>
    </w:lvl>
    <w:lvl w:ilvl="5" w:tplc="788C28FE" w:tentative="1">
      <w:start w:val="1"/>
      <w:numFmt w:val="lowerRoman"/>
      <w:lvlText w:val="%6."/>
      <w:lvlJc w:val="right"/>
      <w:pPr>
        <w:ind w:left="4320" w:hanging="180"/>
      </w:pPr>
    </w:lvl>
    <w:lvl w:ilvl="6" w:tplc="FDDEB8E6" w:tentative="1">
      <w:start w:val="1"/>
      <w:numFmt w:val="decimal"/>
      <w:lvlText w:val="%7."/>
      <w:lvlJc w:val="left"/>
      <w:pPr>
        <w:ind w:left="5040" w:hanging="360"/>
      </w:pPr>
    </w:lvl>
    <w:lvl w:ilvl="7" w:tplc="F87A158E" w:tentative="1">
      <w:start w:val="1"/>
      <w:numFmt w:val="lowerLetter"/>
      <w:lvlText w:val="%8."/>
      <w:lvlJc w:val="left"/>
      <w:pPr>
        <w:ind w:left="5760" w:hanging="360"/>
      </w:pPr>
    </w:lvl>
    <w:lvl w:ilvl="8" w:tplc="48DC9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530D6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FF07C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B232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8B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297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B6CC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B2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27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8F6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A1A5E"/>
    <w:rsid w:val="0002141E"/>
    <w:rsid w:val="000D4868"/>
    <w:rsid w:val="001426CD"/>
    <w:rsid w:val="001D4C1E"/>
    <w:rsid w:val="001E5CE2"/>
    <w:rsid w:val="00216D0D"/>
    <w:rsid w:val="002D4894"/>
    <w:rsid w:val="00343B63"/>
    <w:rsid w:val="0041371C"/>
    <w:rsid w:val="00444780"/>
    <w:rsid w:val="00483582"/>
    <w:rsid w:val="005306BA"/>
    <w:rsid w:val="005449BF"/>
    <w:rsid w:val="005749BE"/>
    <w:rsid w:val="005C0C5F"/>
    <w:rsid w:val="005F28E0"/>
    <w:rsid w:val="00611C4E"/>
    <w:rsid w:val="0062651A"/>
    <w:rsid w:val="0063607E"/>
    <w:rsid w:val="00643A22"/>
    <w:rsid w:val="00691A80"/>
    <w:rsid w:val="006C1F28"/>
    <w:rsid w:val="006C3D64"/>
    <w:rsid w:val="00756857"/>
    <w:rsid w:val="0077121B"/>
    <w:rsid w:val="007B4357"/>
    <w:rsid w:val="008145D9"/>
    <w:rsid w:val="00970483"/>
    <w:rsid w:val="00972F5A"/>
    <w:rsid w:val="00996E7D"/>
    <w:rsid w:val="009A1A5E"/>
    <w:rsid w:val="009C7102"/>
    <w:rsid w:val="009E693B"/>
    <w:rsid w:val="009E7BBC"/>
    <w:rsid w:val="009F6580"/>
    <w:rsid w:val="00B24559"/>
    <w:rsid w:val="00BE14A0"/>
    <w:rsid w:val="00BF5C51"/>
    <w:rsid w:val="00CA4740"/>
    <w:rsid w:val="00CC2BFB"/>
    <w:rsid w:val="00CD4964"/>
    <w:rsid w:val="00CE0147"/>
    <w:rsid w:val="00CE7EB7"/>
    <w:rsid w:val="00D20F5E"/>
    <w:rsid w:val="00D21A8E"/>
    <w:rsid w:val="00D34925"/>
    <w:rsid w:val="00D861F2"/>
    <w:rsid w:val="00DC012F"/>
    <w:rsid w:val="00E37657"/>
    <w:rsid w:val="00E4032E"/>
    <w:rsid w:val="00E6792C"/>
    <w:rsid w:val="00E90649"/>
    <w:rsid w:val="00F12ADF"/>
    <w:rsid w:val="00F3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45AB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paragraph" w:styleId="Odstavecseseznamem">
    <w:name w:val="List Paragraph"/>
    <w:basedOn w:val="Normln"/>
    <w:uiPriority w:val="1"/>
    <w:qFormat/>
    <w:rsid w:val="00CC2BFB"/>
    <w:pPr>
      <w:widowControl w:val="0"/>
      <w:tabs>
        <w:tab w:val="clear" w:pos="567"/>
      </w:tabs>
      <w:autoSpaceDE w:val="0"/>
      <w:autoSpaceDN w:val="0"/>
      <w:spacing w:line="240" w:lineRule="auto"/>
      <w:ind w:left="686" w:hanging="568"/>
    </w:pPr>
    <w:rPr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rmacovigilancia@syv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76FE-6FB9-4B85-88B8-B3EE5A03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1600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SYVA</Company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Neugebauerová Kateřina</cp:lastModifiedBy>
  <cp:revision>22</cp:revision>
  <cp:lastPrinted>2026-06-24T10:55:00Z</cp:lastPrinted>
  <dcterms:created xsi:type="dcterms:W3CDTF">2026-05-13T10:37:00Z</dcterms:created>
  <dcterms:modified xsi:type="dcterms:W3CDTF">2026-06-24T10:55:00Z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