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AA427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383E22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383E22" w:rsidRDefault="0081532F" w:rsidP="00407C22">
      <w:pPr>
        <w:pStyle w:val="Style3"/>
      </w:pPr>
      <w:r w:rsidRPr="00383E22">
        <w:t>PŘÍBALOVÁ INFORMACE</w:t>
      </w:r>
    </w:p>
    <w:p w14:paraId="43EC8B49" w14:textId="77777777" w:rsidR="00C114FF" w:rsidRPr="00383E22" w:rsidRDefault="0081532F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383E22">
        <w:rPr>
          <w:szCs w:val="22"/>
        </w:rPr>
        <w:br w:type="page"/>
      </w:r>
      <w:r w:rsidRPr="00383E22">
        <w:rPr>
          <w:b/>
          <w:szCs w:val="22"/>
        </w:rPr>
        <w:lastRenderedPageBreak/>
        <w:t>PŘÍBALOVÁ INFORMACE</w:t>
      </w:r>
    </w:p>
    <w:p w14:paraId="64A84F5A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383E22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1.</w:t>
      </w:r>
      <w:r w:rsidRPr="00383E22">
        <w:tab/>
        <w:t>Název veterinárního léčivého přípravku</w:t>
      </w:r>
    </w:p>
    <w:p w14:paraId="15739A9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BB922B" w14:textId="77777777" w:rsidR="009841DD" w:rsidRPr="00383E22" w:rsidRDefault="009841DD" w:rsidP="009841DD">
      <w:pPr>
        <w:rPr>
          <w:szCs w:val="22"/>
        </w:rPr>
      </w:pPr>
      <w:r w:rsidRPr="00383E22">
        <w:rPr>
          <w:szCs w:val="22"/>
        </w:rPr>
        <w:t>Clindaseptin 25 mg/ml perorální roztok pro kočky a psy.</w:t>
      </w:r>
    </w:p>
    <w:p w14:paraId="7B8457B0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2.</w:t>
      </w:r>
      <w:r w:rsidRPr="00383E22">
        <w:tab/>
        <w:t>Složení</w:t>
      </w:r>
    </w:p>
    <w:p w14:paraId="7BCD36FA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2F408FF" w14:textId="36A65434" w:rsidR="009841DD" w:rsidRPr="00383E22" w:rsidRDefault="005B1792" w:rsidP="009841DD">
      <w:pPr>
        <w:rPr>
          <w:szCs w:val="22"/>
        </w:rPr>
      </w:pPr>
      <w:r>
        <w:rPr>
          <w:szCs w:val="22"/>
        </w:rPr>
        <w:t>Každý</w:t>
      </w:r>
      <w:r w:rsidRPr="00383E22">
        <w:rPr>
          <w:szCs w:val="22"/>
        </w:rPr>
        <w:t xml:space="preserve"> </w:t>
      </w:r>
      <w:r w:rsidR="009841DD" w:rsidRPr="00383E22">
        <w:rPr>
          <w:szCs w:val="22"/>
        </w:rPr>
        <w:t>ml obsahuje:</w:t>
      </w:r>
    </w:p>
    <w:p w14:paraId="470A098F" w14:textId="77777777" w:rsidR="009841DD" w:rsidRPr="00383E22" w:rsidRDefault="009841DD" w:rsidP="009841DD">
      <w:pPr>
        <w:rPr>
          <w:szCs w:val="22"/>
        </w:rPr>
      </w:pPr>
    </w:p>
    <w:p w14:paraId="671D9481" w14:textId="77777777" w:rsidR="009841DD" w:rsidRPr="00383E22" w:rsidRDefault="009841DD" w:rsidP="009841DD">
      <w:pPr>
        <w:tabs>
          <w:tab w:val="clear" w:pos="567"/>
        </w:tabs>
        <w:spacing w:line="240" w:lineRule="auto"/>
        <w:rPr>
          <w:b/>
          <w:szCs w:val="22"/>
        </w:rPr>
      </w:pPr>
      <w:r w:rsidRPr="00383E22">
        <w:rPr>
          <w:b/>
          <w:szCs w:val="22"/>
        </w:rPr>
        <w:t>Léčivé látky:</w:t>
      </w:r>
    </w:p>
    <w:p w14:paraId="74D705BB" w14:textId="77777777" w:rsidR="009841DD" w:rsidRPr="00383E22" w:rsidRDefault="009841DD" w:rsidP="006425C0">
      <w:pPr>
        <w:tabs>
          <w:tab w:val="left" w:pos="3969"/>
        </w:tabs>
        <w:rPr>
          <w:szCs w:val="22"/>
        </w:rPr>
      </w:pPr>
      <w:r w:rsidRPr="00383E22">
        <w:rPr>
          <w:szCs w:val="22"/>
        </w:rPr>
        <w:t>Clindamycinum</w:t>
      </w:r>
      <w:r w:rsidRPr="00383E22">
        <w:rPr>
          <w:szCs w:val="22"/>
        </w:rPr>
        <w:tab/>
        <w:t>25 mg</w:t>
      </w:r>
    </w:p>
    <w:p w14:paraId="7803D436" w14:textId="25F92163" w:rsidR="009841DD" w:rsidRPr="00383E22" w:rsidRDefault="009841DD" w:rsidP="009841DD">
      <w:pPr>
        <w:rPr>
          <w:szCs w:val="22"/>
        </w:rPr>
      </w:pPr>
      <w:r w:rsidRPr="00383E22">
        <w:rPr>
          <w:szCs w:val="22"/>
        </w:rPr>
        <w:t>(</w:t>
      </w:r>
      <w:r w:rsidR="005B1792">
        <w:rPr>
          <w:szCs w:val="22"/>
        </w:rPr>
        <w:t>jako</w:t>
      </w:r>
      <w:r w:rsidR="005B1792" w:rsidRPr="00383E22">
        <w:rPr>
          <w:szCs w:val="22"/>
        </w:rPr>
        <w:t xml:space="preserve"> </w:t>
      </w:r>
      <w:r w:rsidRPr="00383E22">
        <w:rPr>
          <w:szCs w:val="22"/>
        </w:rPr>
        <w:t>clindamycini hydrochloridum 27,15 mg)</w:t>
      </w:r>
    </w:p>
    <w:p w14:paraId="5869A1FC" w14:textId="747EA271" w:rsidR="009841DD" w:rsidRPr="00383E22" w:rsidRDefault="009841DD" w:rsidP="009841DD">
      <w:pPr>
        <w:tabs>
          <w:tab w:val="clear" w:pos="567"/>
        </w:tabs>
        <w:spacing w:line="240" w:lineRule="auto"/>
        <w:rPr>
          <w:szCs w:val="22"/>
        </w:rPr>
      </w:pPr>
    </w:p>
    <w:p w14:paraId="7FAA1DAB" w14:textId="604DC1B5" w:rsidR="009841DD" w:rsidRPr="00383E22" w:rsidRDefault="009841DD" w:rsidP="009841DD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b/>
          <w:szCs w:val="22"/>
        </w:rPr>
        <w:t>Pomocné látky:</w:t>
      </w:r>
    </w:p>
    <w:p w14:paraId="69C58513" w14:textId="70571F64" w:rsidR="009841DD" w:rsidRPr="00383E22" w:rsidRDefault="009841DD" w:rsidP="009841DD">
      <w:pPr>
        <w:jc w:val="both"/>
        <w:rPr>
          <w:szCs w:val="22"/>
        </w:rPr>
      </w:pPr>
      <w:r w:rsidRPr="00383E22">
        <w:rPr>
          <w:szCs w:val="22"/>
        </w:rPr>
        <w:t>Ethanol</w:t>
      </w:r>
      <w:r w:rsidRPr="00383E22">
        <w:rPr>
          <w:szCs w:val="22"/>
        </w:rPr>
        <w:tab/>
        <w:t>96 %</w:t>
      </w:r>
      <w:r w:rsidR="0019092F" w:rsidRPr="00383E22">
        <w:rPr>
          <w:szCs w:val="22"/>
        </w:rPr>
        <w:tab/>
      </w:r>
      <w:r w:rsidR="0019092F" w:rsidRPr="00383E22">
        <w:rPr>
          <w:szCs w:val="22"/>
        </w:rPr>
        <w:tab/>
      </w:r>
      <w:r w:rsidR="0019092F" w:rsidRPr="00383E22">
        <w:rPr>
          <w:szCs w:val="22"/>
        </w:rPr>
        <w:tab/>
      </w:r>
      <w:r w:rsidRPr="00383E22">
        <w:rPr>
          <w:szCs w:val="22"/>
        </w:rPr>
        <w:tab/>
      </w:r>
      <w:r w:rsidRPr="00383E22">
        <w:rPr>
          <w:szCs w:val="22"/>
        </w:rPr>
        <w:tab/>
        <w:t>90,56 mg</w:t>
      </w:r>
    </w:p>
    <w:p w14:paraId="363B6A03" w14:textId="62E7AE9F" w:rsidR="009841DD" w:rsidRPr="00383E22" w:rsidRDefault="009841DD" w:rsidP="009841DD">
      <w:pPr>
        <w:tabs>
          <w:tab w:val="clear" w:pos="567"/>
        </w:tabs>
        <w:spacing w:line="240" w:lineRule="auto"/>
        <w:rPr>
          <w:szCs w:val="22"/>
        </w:rPr>
      </w:pPr>
    </w:p>
    <w:p w14:paraId="0A02C6D1" w14:textId="77777777" w:rsidR="009841DD" w:rsidRPr="00383E22" w:rsidRDefault="009841DD" w:rsidP="009841DD">
      <w:pPr>
        <w:rPr>
          <w:b/>
          <w:bCs/>
          <w:szCs w:val="22"/>
        </w:rPr>
      </w:pPr>
      <w:r w:rsidRPr="00383E22">
        <w:rPr>
          <w:szCs w:val="22"/>
        </w:rPr>
        <w:t>Čirý, bezbarvý roztok.</w:t>
      </w:r>
    </w:p>
    <w:p w14:paraId="2791EAA3" w14:textId="77777777" w:rsidR="009841DD" w:rsidRPr="00383E22" w:rsidRDefault="009841DD" w:rsidP="009841DD">
      <w:pPr>
        <w:tabs>
          <w:tab w:val="clear" w:pos="567"/>
        </w:tabs>
        <w:spacing w:line="240" w:lineRule="auto"/>
        <w:rPr>
          <w:szCs w:val="22"/>
        </w:rPr>
      </w:pPr>
    </w:p>
    <w:p w14:paraId="0AC31686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3.</w:t>
      </w:r>
      <w:r w:rsidRPr="00383E22">
        <w:tab/>
        <w:t>Cílové druhy zvířat</w:t>
      </w:r>
    </w:p>
    <w:p w14:paraId="3A82A245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5C6150" w14:textId="21768EBE" w:rsidR="006425C0" w:rsidRPr="00383E22" w:rsidRDefault="006425C0" w:rsidP="006425C0">
      <w:pPr>
        <w:spacing w:before="240"/>
        <w:rPr>
          <w:szCs w:val="22"/>
        </w:rPr>
      </w:pPr>
      <w:r w:rsidRPr="00383E22">
        <w:rPr>
          <w:szCs w:val="22"/>
        </w:rPr>
        <w:t xml:space="preserve">Kočky a psi </w:t>
      </w:r>
      <w:r w:rsidRPr="00383E22">
        <w:rPr>
          <w:noProof/>
          <w:szCs w:val="22"/>
          <w:lang w:val="ru-RU" w:eastAsia="ru-RU"/>
        </w:rPr>
        <w:drawing>
          <wp:inline distT="0" distB="0" distL="0" distR="0" wp14:anchorId="5B0E024B" wp14:editId="437AD4FB">
            <wp:extent cx="307383" cy="355600"/>
            <wp:effectExtent l="0" t="0" r="0" b="6350"/>
            <wp:docPr id="1042019991" name="Picture 1042019991" descr="A black silhouette of a c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silhouette of a ca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5" cy="392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3E22">
        <w:rPr>
          <w:noProof/>
          <w:szCs w:val="22"/>
          <w:lang w:val="ru-RU" w:eastAsia="ru-RU"/>
        </w:rPr>
        <w:drawing>
          <wp:inline distT="0" distB="0" distL="0" distR="0" wp14:anchorId="5A4983F0" wp14:editId="77F94936">
            <wp:extent cx="358093" cy="260177"/>
            <wp:effectExtent l="0" t="0" r="4445" b="6985"/>
            <wp:docPr id="119734084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37" cy="26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802D0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4.</w:t>
      </w:r>
      <w:r w:rsidRPr="00383E22">
        <w:tab/>
        <w:t>Indikace pro použití</w:t>
      </w:r>
    </w:p>
    <w:p w14:paraId="72A5B8D6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7644B8" w14:textId="77777777" w:rsidR="006425C0" w:rsidRPr="00383E22" w:rsidRDefault="006425C0" w:rsidP="006425C0">
      <w:pPr>
        <w:rPr>
          <w:szCs w:val="22"/>
        </w:rPr>
      </w:pPr>
      <w:r w:rsidRPr="00383E22">
        <w:rPr>
          <w:szCs w:val="22"/>
        </w:rPr>
        <w:t>Kočky:</w:t>
      </w:r>
    </w:p>
    <w:p w14:paraId="7536F333" w14:textId="4EC76B61" w:rsidR="006425C0" w:rsidRPr="00383E22" w:rsidRDefault="006425C0" w:rsidP="006425C0">
      <w:pPr>
        <w:rPr>
          <w:szCs w:val="22"/>
        </w:rPr>
      </w:pPr>
      <w:r w:rsidRPr="00383E22">
        <w:rPr>
          <w:szCs w:val="22"/>
        </w:rPr>
        <w:t xml:space="preserve">Léčba infikovaných poranění a abscesů vyvolaných </w:t>
      </w:r>
      <w:r w:rsidR="00A81B2A">
        <w:rPr>
          <w:szCs w:val="22"/>
        </w:rPr>
        <w:t>kmeny bakterií</w:t>
      </w:r>
      <w:r w:rsidRPr="00383E22">
        <w:rPr>
          <w:szCs w:val="22"/>
        </w:rPr>
        <w:t xml:space="preserve"> rodů </w:t>
      </w:r>
      <w:r w:rsidRPr="00383E22">
        <w:rPr>
          <w:i/>
          <w:szCs w:val="22"/>
        </w:rPr>
        <w:t>Staphylococcus</w:t>
      </w:r>
      <w:r w:rsidRPr="00383E22">
        <w:rPr>
          <w:szCs w:val="22"/>
        </w:rPr>
        <w:t xml:space="preserve"> a </w:t>
      </w:r>
      <w:r w:rsidRPr="00383E22">
        <w:rPr>
          <w:i/>
          <w:szCs w:val="22"/>
        </w:rPr>
        <w:t>Streptococcus</w:t>
      </w:r>
      <w:r w:rsidRPr="00383E22">
        <w:rPr>
          <w:szCs w:val="22"/>
        </w:rPr>
        <w:t xml:space="preserve"> citlivými </w:t>
      </w:r>
      <w:r w:rsidR="000B3589">
        <w:rPr>
          <w:szCs w:val="22"/>
        </w:rPr>
        <w:t>ke</w:t>
      </w:r>
      <w:r w:rsidR="000B3589" w:rsidRPr="00383E22">
        <w:rPr>
          <w:szCs w:val="22"/>
        </w:rPr>
        <w:t xml:space="preserve"> </w:t>
      </w:r>
      <w:r w:rsidRPr="00383E22">
        <w:rPr>
          <w:szCs w:val="22"/>
        </w:rPr>
        <w:t>klindamycin</w:t>
      </w:r>
      <w:r w:rsidR="000B3589">
        <w:rPr>
          <w:szCs w:val="22"/>
        </w:rPr>
        <w:t>u</w:t>
      </w:r>
      <w:r w:rsidRPr="00383E22">
        <w:rPr>
          <w:szCs w:val="22"/>
        </w:rPr>
        <w:t>.</w:t>
      </w:r>
    </w:p>
    <w:p w14:paraId="581CD9BF" w14:textId="77777777" w:rsidR="006425C0" w:rsidRPr="00383E22" w:rsidRDefault="006425C0" w:rsidP="006425C0">
      <w:pPr>
        <w:rPr>
          <w:szCs w:val="22"/>
        </w:rPr>
      </w:pPr>
    </w:p>
    <w:p w14:paraId="65DA55B7" w14:textId="77777777" w:rsidR="006425C0" w:rsidRPr="00383E22" w:rsidRDefault="006425C0" w:rsidP="006425C0">
      <w:pPr>
        <w:rPr>
          <w:szCs w:val="22"/>
        </w:rPr>
      </w:pPr>
      <w:r w:rsidRPr="00383E22">
        <w:rPr>
          <w:szCs w:val="22"/>
        </w:rPr>
        <w:t>Psi:</w:t>
      </w:r>
    </w:p>
    <w:p w14:paraId="04174BD0" w14:textId="3E023727" w:rsidR="006425C0" w:rsidRPr="00383E22" w:rsidRDefault="006425C0" w:rsidP="006425C0">
      <w:pPr>
        <w:numPr>
          <w:ilvl w:val="0"/>
          <w:numId w:val="45"/>
        </w:numPr>
        <w:spacing w:after="200"/>
        <w:rPr>
          <w:i/>
          <w:iCs/>
          <w:szCs w:val="22"/>
        </w:rPr>
      </w:pPr>
      <w:r w:rsidRPr="00383E22">
        <w:rPr>
          <w:szCs w:val="22"/>
        </w:rPr>
        <w:t xml:space="preserve">Léčba infikovaných poranění, abscesů a infekcí dutiny ústní/dentálních infekcí </w:t>
      </w:r>
      <w:r w:rsidR="007B65DC">
        <w:rPr>
          <w:szCs w:val="22"/>
        </w:rPr>
        <w:t xml:space="preserve">vyvolaných </w:t>
      </w:r>
      <w:r w:rsidRPr="00383E22">
        <w:rPr>
          <w:szCs w:val="22"/>
        </w:rPr>
        <w:t xml:space="preserve">nebo souvisejících s rody </w:t>
      </w:r>
      <w:r w:rsidRPr="00383E22">
        <w:rPr>
          <w:i/>
          <w:szCs w:val="22"/>
        </w:rPr>
        <w:t xml:space="preserve">Staphylococcus </w:t>
      </w:r>
      <w:r w:rsidRPr="00383E22">
        <w:rPr>
          <w:szCs w:val="22"/>
        </w:rPr>
        <w:t xml:space="preserve">spp., </w:t>
      </w:r>
      <w:r w:rsidRPr="00383E22">
        <w:rPr>
          <w:i/>
          <w:szCs w:val="22"/>
        </w:rPr>
        <w:t>Streptococcus</w:t>
      </w:r>
      <w:r w:rsidRPr="00383E22">
        <w:rPr>
          <w:szCs w:val="22"/>
        </w:rPr>
        <w:t xml:space="preserve"> spp., </w:t>
      </w:r>
      <w:r w:rsidRPr="00383E22">
        <w:rPr>
          <w:i/>
          <w:szCs w:val="22"/>
        </w:rPr>
        <w:t xml:space="preserve">Bacteroides </w:t>
      </w:r>
      <w:r w:rsidRPr="00383E22">
        <w:rPr>
          <w:szCs w:val="22"/>
        </w:rPr>
        <w:t xml:space="preserve">spp., druhy </w:t>
      </w:r>
      <w:r w:rsidRPr="00383E22">
        <w:rPr>
          <w:i/>
          <w:szCs w:val="22"/>
        </w:rPr>
        <w:t>Clostridium</w:t>
      </w:r>
      <w:r w:rsidRPr="00383E22">
        <w:rPr>
          <w:szCs w:val="22"/>
        </w:rPr>
        <w:t xml:space="preserve"> </w:t>
      </w:r>
      <w:r w:rsidRPr="00383E22">
        <w:rPr>
          <w:i/>
          <w:szCs w:val="22"/>
        </w:rPr>
        <w:t>perfringens</w:t>
      </w:r>
      <w:r w:rsidRPr="00383E22">
        <w:rPr>
          <w:szCs w:val="22"/>
        </w:rPr>
        <w:t xml:space="preserve"> a </w:t>
      </w:r>
      <w:r w:rsidRPr="00383E22">
        <w:rPr>
          <w:i/>
          <w:szCs w:val="22"/>
        </w:rPr>
        <w:t>Fusobacterium</w:t>
      </w:r>
      <w:r w:rsidRPr="00383E22">
        <w:rPr>
          <w:szCs w:val="22"/>
        </w:rPr>
        <w:t xml:space="preserve"> </w:t>
      </w:r>
      <w:r w:rsidRPr="00383E22">
        <w:rPr>
          <w:i/>
          <w:szCs w:val="22"/>
        </w:rPr>
        <w:t>necrophorum</w:t>
      </w:r>
      <w:r w:rsidRPr="00383E22">
        <w:rPr>
          <w:szCs w:val="22"/>
        </w:rPr>
        <w:t>, citlivými na klindamycin.</w:t>
      </w:r>
    </w:p>
    <w:p w14:paraId="0CC4277C" w14:textId="760AA7C2" w:rsidR="006425C0" w:rsidRPr="00383E22" w:rsidRDefault="006425C0" w:rsidP="006425C0">
      <w:pPr>
        <w:numPr>
          <w:ilvl w:val="0"/>
          <w:numId w:val="45"/>
        </w:numPr>
        <w:tabs>
          <w:tab w:val="clear" w:pos="567"/>
        </w:tabs>
        <w:spacing w:after="200" w:line="276" w:lineRule="auto"/>
        <w:rPr>
          <w:szCs w:val="22"/>
        </w:rPr>
      </w:pPr>
      <w:r w:rsidRPr="00383E22">
        <w:rPr>
          <w:szCs w:val="22"/>
        </w:rPr>
        <w:t xml:space="preserve">Podpůrná léčba </w:t>
      </w:r>
      <w:r w:rsidR="007B65DC" w:rsidRPr="007B65DC">
        <w:rPr>
          <w:szCs w:val="22"/>
        </w:rPr>
        <w:t xml:space="preserve">při mechanické nebo chirurgické periodontální terapii </w:t>
      </w:r>
      <w:r w:rsidRPr="00383E22">
        <w:rPr>
          <w:szCs w:val="22"/>
        </w:rPr>
        <w:t>při léčbě infekcí tkání dásní a periodontu.</w:t>
      </w:r>
    </w:p>
    <w:p w14:paraId="5C2B6702" w14:textId="11D2C074" w:rsidR="006425C0" w:rsidRPr="00383E22" w:rsidRDefault="006425C0" w:rsidP="006425C0">
      <w:pPr>
        <w:numPr>
          <w:ilvl w:val="0"/>
          <w:numId w:val="45"/>
        </w:numPr>
        <w:spacing w:after="200"/>
        <w:rPr>
          <w:szCs w:val="22"/>
        </w:rPr>
      </w:pPr>
      <w:r w:rsidRPr="00383E22">
        <w:rPr>
          <w:szCs w:val="22"/>
        </w:rPr>
        <w:t xml:space="preserve">Léčba osteomyelitidy </w:t>
      </w:r>
      <w:r w:rsidR="007B65DC">
        <w:rPr>
          <w:szCs w:val="22"/>
        </w:rPr>
        <w:t>vyvolané</w:t>
      </w:r>
      <w:r w:rsidR="007B65DC" w:rsidRPr="00383E22">
        <w:rPr>
          <w:szCs w:val="22"/>
        </w:rPr>
        <w:t xml:space="preserve"> </w:t>
      </w:r>
      <w:r w:rsidRPr="00383E22">
        <w:rPr>
          <w:i/>
          <w:szCs w:val="22"/>
        </w:rPr>
        <w:t>Staphylococcus aureus.</w:t>
      </w:r>
    </w:p>
    <w:p w14:paraId="5AB0DC3B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5.</w:t>
      </w:r>
      <w:r w:rsidRPr="00383E22">
        <w:tab/>
        <w:t>Kontraindikace</w:t>
      </w:r>
    </w:p>
    <w:p w14:paraId="18AC33E5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65DEF0" w14:textId="5D2DE919" w:rsidR="006425C0" w:rsidRPr="00383E22" w:rsidRDefault="007B65DC" w:rsidP="006425C0">
      <w:pPr>
        <w:keepNext/>
        <w:tabs>
          <w:tab w:val="left" w:pos="0"/>
          <w:tab w:val="left" w:pos="720"/>
        </w:tabs>
        <w:jc w:val="both"/>
        <w:rPr>
          <w:szCs w:val="22"/>
        </w:rPr>
      </w:pPr>
      <w:r w:rsidRPr="00383E22">
        <w:rPr>
          <w:szCs w:val="22"/>
        </w:rPr>
        <w:t>Nepoužív</w:t>
      </w:r>
      <w:r>
        <w:rPr>
          <w:szCs w:val="22"/>
        </w:rPr>
        <w:t>at</w:t>
      </w:r>
      <w:r w:rsidRPr="00383E22">
        <w:rPr>
          <w:szCs w:val="22"/>
        </w:rPr>
        <w:t xml:space="preserve"> </w:t>
      </w:r>
      <w:r w:rsidR="006425C0" w:rsidRPr="00383E22">
        <w:rPr>
          <w:szCs w:val="22"/>
        </w:rPr>
        <w:t xml:space="preserve">u králíků, křečků, morčat, činčil, koní ani přežvýkavců, protože </w:t>
      </w:r>
    </w:p>
    <w:p w14:paraId="76265BC0" w14:textId="304EE402" w:rsidR="006425C0" w:rsidRPr="00383E22" w:rsidRDefault="006425C0" w:rsidP="006425C0">
      <w:pPr>
        <w:keepNext/>
        <w:tabs>
          <w:tab w:val="left" w:pos="0"/>
          <w:tab w:val="left" w:pos="720"/>
        </w:tabs>
        <w:jc w:val="both"/>
        <w:rPr>
          <w:szCs w:val="22"/>
          <w:rtl/>
        </w:rPr>
      </w:pPr>
      <w:r w:rsidRPr="00383E22">
        <w:rPr>
          <w:szCs w:val="22"/>
        </w:rPr>
        <w:t xml:space="preserve">požití klindamycinu těmito druhy </w:t>
      </w:r>
      <w:r w:rsidR="007B65DC">
        <w:rPr>
          <w:szCs w:val="22"/>
        </w:rPr>
        <w:t xml:space="preserve">zvířat </w:t>
      </w:r>
      <w:r w:rsidRPr="00383E22">
        <w:rPr>
          <w:szCs w:val="22"/>
        </w:rPr>
        <w:t>může vést k závažným gastrointestinálním poruchám, které mohou být někdy smrtelné.</w:t>
      </w:r>
    </w:p>
    <w:p w14:paraId="23B1D1A8" w14:textId="77777777" w:rsidR="006425C0" w:rsidRPr="00383E22" w:rsidRDefault="006425C0" w:rsidP="006425C0">
      <w:pPr>
        <w:keepNext/>
        <w:tabs>
          <w:tab w:val="left" w:pos="0"/>
          <w:tab w:val="left" w:pos="720"/>
        </w:tabs>
        <w:jc w:val="both"/>
        <w:rPr>
          <w:szCs w:val="22"/>
        </w:rPr>
      </w:pPr>
    </w:p>
    <w:p w14:paraId="389AC84A" w14:textId="45543E72" w:rsidR="006425C0" w:rsidRPr="00383E22" w:rsidRDefault="006425C0" w:rsidP="006425C0">
      <w:pPr>
        <w:keepNext/>
        <w:tabs>
          <w:tab w:val="left" w:pos="0"/>
          <w:tab w:val="left" w:pos="720"/>
        </w:tabs>
        <w:jc w:val="both"/>
        <w:rPr>
          <w:szCs w:val="22"/>
        </w:rPr>
      </w:pPr>
      <w:r w:rsidRPr="00383E22">
        <w:rPr>
          <w:szCs w:val="22"/>
        </w:rPr>
        <w:t>Nepoužív</w:t>
      </w:r>
      <w:r w:rsidR="007B65DC">
        <w:rPr>
          <w:szCs w:val="22"/>
        </w:rPr>
        <w:t>at</w:t>
      </w:r>
      <w:r w:rsidRPr="00383E22">
        <w:rPr>
          <w:szCs w:val="22"/>
        </w:rPr>
        <w:t xml:space="preserve"> v případě přecitlivělosti na klindamycin nebo linkomycin nebo na jakoukoli z pomocných látek.</w:t>
      </w:r>
    </w:p>
    <w:p w14:paraId="214F8839" w14:textId="77777777" w:rsidR="00EB457B" w:rsidRPr="00383E22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383E22" w:rsidRDefault="0081532F" w:rsidP="00EA0761">
      <w:pPr>
        <w:pStyle w:val="Style1"/>
        <w:keepNext/>
      </w:pPr>
      <w:r w:rsidRPr="00383E22">
        <w:rPr>
          <w:highlight w:val="lightGray"/>
        </w:rPr>
        <w:lastRenderedPageBreak/>
        <w:t>6.</w:t>
      </w:r>
      <w:r w:rsidRPr="00383E22">
        <w:tab/>
        <w:t>Zvláštní upozornění</w:t>
      </w:r>
    </w:p>
    <w:p w14:paraId="72546E2A" w14:textId="77777777" w:rsidR="00C114FF" w:rsidRPr="00383E22" w:rsidRDefault="00C114FF" w:rsidP="00EA0761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01C5788A" w14:textId="0C1107D4" w:rsidR="00BD0909" w:rsidRDefault="00BD0909" w:rsidP="00EA0761">
      <w:pPr>
        <w:keepNext/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  <w:u w:val="single"/>
        </w:rPr>
        <w:t>Zvláštní opatření pro bezpečné použití u cílových druhů zvířat</w:t>
      </w:r>
      <w:r w:rsidRPr="00383E22">
        <w:rPr>
          <w:szCs w:val="22"/>
        </w:rPr>
        <w:t>:</w:t>
      </w:r>
    </w:p>
    <w:p w14:paraId="04661601" w14:textId="77777777" w:rsidR="00383E22" w:rsidRPr="00383E22" w:rsidRDefault="00383E22" w:rsidP="00EA0761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602277FF" w14:textId="4BEC7780" w:rsidR="00BD0909" w:rsidRPr="00383E22" w:rsidRDefault="00BD0909" w:rsidP="00BD0909">
      <w:pPr>
        <w:jc w:val="both"/>
        <w:rPr>
          <w:color w:val="000000" w:themeColor="text1"/>
          <w:szCs w:val="22"/>
        </w:rPr>
      </w:pPr>
      <w:r w:rsidRPr="00383E22">
        <w:rPr>
          <w:color w:val="000000" w:themeColor="text1"/>
          <w:szCs w:val="22"/>
        </w:rPr>
        <w:t xml:space="preserve">Nevhodné používání tohoto </w:t>
      </w:r>
      <w:r w:rsidR="00C65385">
        <w:rPr>
          <w:szCs w:val="22"/>
        </w:rPr>
        <w:t xml:space="preserve">veterinárního léčivého </w:t>
      </w:r>
      <w:r w:rsidRPr="00383E22">
        <w:rPr>
          <w:color w:val="000000" w:themeColor="text1"/>
          <w:szCs w:val="22"/>
        </w:rPr>
        <w:t xml:space="preserve">přípravku může zvýšit prevalenci bakterií </w:t>
      </w:r>
      <w:r w:rsidR="003001B7" w:rsidRPr="001B323F">
        <w:rPr>
          <w:szCs w:val="22"/>
        </w:rPr>
        <w:t xml:space="preserve">rezistentních </w:t>
      </w:r>
      <w:r w:rsidR="003001B7">
        <w:rPr>
          <w:szCs w:val="22"/>
        </w:rPr>
        <w:t>vůči</w:t>
      </w:r>
      <w:r w:rsidR="003001B7" w:rsidRPr="001B323F">
        <w:rPr>
          <w:szCs w:val="22"/>
        </w:rPr>
        <w:t xml:space="preserve"> klindamycinu</w:t>
      </w:r>
      <w:r w:rsidRPr="00383E22">
        <w:rPr>
          <w:color w:val="000000" w:themeColor="text1"/>
          <w:szCs w:val="22"/>
        </w:rPr>
        <w:t>.</w:t>
      </w:r>
    </w:p>
    <w:p w14:paraId="019BCC1C" w14:textId="5862D03A" w:rsidR="00BD0909" w:rsidRPr="00383E22" w:rsidRDefault="00BD0909" w:rsidP="00BD0909">
      <w:pPr>
        <w:autoSpaceDE w:val="0"/>
        <w:autoSpaceDN w:val="0"/>
        <w:adjustRightInd w:val="0"/>
        <w:spacing w:line="240" w:lineRule="atLeast"/>
        <w:jc w:val="both"/>
        <w:rPr>
          <w:color w:val="000000" w:themeColor="text1"/>
          <w:szCs w:val="22"/>
        </w:rPr>
      </w:pPr>
      <w:r w:rsidRPr="00383E22">
        <w:rPr>
          <w:color w:val="000000" w:themeColor="text1"/>
          <w:szCs w:val="22"/>
        </w:rPr>
        <w:t xml:space="preserve">Použití klindamycinu by mělo být vždy, </w:t>
      </w:r>
      <w:r w:rsidR="003001B7">
        <w:rPr>
          <w:color w:val="000000" w:themeColor="text1"/>
          <w:szCs w:val="22"/>
        </w:rPr>
        <w:t>kdy</w:t>
      </w:r>
      <w:r w:rsidR="003001B7" w:rsidRPr="00383E22">
        <w:rPr>
          <w:color w:val="000000" w:themeColor="text1"/>
          <w:szCs w:val="22"/>
        </w:rPr>
        <w:t xml:space="preserve"> </w:t>
      </w:r>
      <w:r w:rsidRPr="00383E22">
        <w:rPr>
          <w:color w:val="000000" w:themeColor="text1"/>
          <w:szCs w:val="22"/>
        </w:rPr>
        <w:t xml:space="preserve">je to možné, založeno na výsledku </w:t>
      </w:r>
      <w:r w:rsidR="003001B7">
        <w:rPr>
          <w:color w:val="000000" w:themeColor="text1"/>
          <w:szCs w:val="22"/>
        </w:rPr>
        <w:t>stanovení</w:t>
      </w:r>
      <w:r w:rsidRPr="00383E22">
        <w:rPr>
          <w:color w:val="000000" w:themeColor="text1"/>
          <w:szCs w:val="22"/>
        </w:rPr>
        <w:t xml:space="preserve"> citlivosti. </w:t>
      </w:r>
      <w:r w:rsidRPr="00600B5D">
        <w:rPr>
          <w:color w:val="000000" w:themeColor="text1"/>
          <w:szCs w:val="22"/>
        </w:rPr>
        <w:t xml:space="preserve">Viz </w:t>
      </w:r>
      <w:r w:rsidR="003001B7" w:rsidRPr="009F549F">
        <w:rPr>
          <w:color w:val="000000" w:themeColor="text1"/>
          <w:szCs w:val="22"/>
        </w:rPr>
        <w:t>bod</w:t>
      </w:r>
      <w:r w:rsidR="003001B7" w:rsidRPr="00600B5D">
        <w:rPr>
          <w:color w:val="000000" w:themeColor="text1"/>
          <w:szCs w:val="22"/>
        </w:rPr>
        <w:t xml:space="preserve"> </w:t>
      </w:r>
      <w:r w:rsidR="00600B5D" w:rsidRPr="009F549F">
        <w:rPr>
          <w:color w:val="000000" w:themeColor="text1"/>
          <w:szCs w:val="22"/>
        </w:rPr>
        <w:t>Další informace</w:t>
      </w:r>
      <w:r w:rsidRPr="00600B5D">
        <w:rPr>
          <w:color w:val="000000" w:themeColor="text1"/>
          <w:szCs w:val="22"/>
        </w:rPr>
        <w:t xml:space="preserve"> uvádějící informace o klinických hraničních hodnotách pro klindamycin.</w:t>
      </w:r>
    </w:p>
    <w:p w14:paraId="35E0891E" w14:textId="3790A926" w:rsidR="00BD0909" w:rsidRPr="00383E22" w:rsidRDefault="00BD0909" w:rsidP="00BD0909">
      <w:pPr>
        <w:jc w:val="both"/>
        <w:rPr>
          <w:color w:val="0000FF"/>
          <w:szCs w:val="22"/>
        </w:rPr>
      </w:pPr>
      <w:r w:rsidRPr="00383E22">
        <w:rPr>
          <w:color w:val="000000" w:themeColor="text1"/>
          <w:szCs w:val="22"/>
        </w:rPr>
        <w:t xml:space="preserve">Při použití </w:t>
      </w:r>
      <w:r w:rsidR="003001B7">
        <w:rPr>
          <w:szCs w:val="22"/>
        </w:rPr>
        <w:t xml:space="preserve">veterinárního léčivého </w:t>
      </w:r>
      <w:r w:rsidRPr="00383E22">
        <w:rPr>
          <w:color w:val="000000" w:themeColor="text1"/>
          <w:szCs w:val="22"/>
        </w:rPr>
        <w:t>přípravku je nutno vzít v úvahu oficiální celostátní a místní pravidla antibiotické politiky</w:t>
      </w:r>
      <w:r w:rsidRPr="00383E22">
        <w:rPr>
          <w:color w:val="0000FF"/>
          <w:szCs w:val="22"/>
        </w:rPr>
        <w:t xml:space="preserve">. </w:t>
      </w:r>
    </w:p>
    <w:p w14:paraId="0B4A0188" w14:textId="77777777" w:rsidR="00BD0909" w:rsidRPr="00383E22" w:rsidRDefault="00BD0909" w:rsidP="00BD0909">
      <w:pPr>
        <w:jc w:val="both"/>
        <w:rPr>
          <w:color w:val="0000FF"/>
          <w:szCs w:val="22"/>
        </w:rPr>
      </w:pPr>
    </w:p>
    <w:p w14:paraId="01F91F04" w14:textId="14006DBD" w:rsidR="00BD0909" w:rsidRPr="00383E22" w:rsidRDefault="00BD0909" w:rsidP="00BD0909">
      <w:pPr>
        <w:jc w:val="both"/>
        <w:rPr>
          <w:b/>
          <w:bCs/>
          <w:szCs w:val="22"/>
        </w:rPr>
      </w:pPr>
      <w:r w:rsidRPr="00383E22">
        <w:rPr>
          <w:szCs w:val="22"/>
        </w:rPr>
        <w:t>Klindamycin vykazuje zkříženou rezistenci s linkomycinem a ko-rezistenci s erythromycinem. Existuje částečná zkřížená rezistence s erythromycinem a jinými makrolidy.</w:t>
      </w:r>
    </w:p>
    <w:p w14:paraId="4D278B22" w14:textId="61DB1E81" w:rsidR="00BD0909" w:rsidRPr="00383E22" w:rsidRDefault="00BD0909" w:rsidP="00BD0909">
      <w:pPr>
        <w:rPr>
          <w:szCs w:val="22"/>
          <w:rtl/>
        </w:rPr>
      </w:pPr>
      <w:r w:rsidRPr="00383E22">
        <w:rPr>
          <w:szCs w:val="22"/>
        </w:rPr>
        <w:t xml:space="preserve">V případě podávání vysokých dávek klindamycinu nebo během delší léčby trvající měsíc nebo déle, je nutno pravidelně provádět </w:t>
      </w:r>
      <w:r w:rsidR="003001B7">
        <w:rPr>
          <w:szCs w:val="22"/>
        </w:rPr>
        <w:t>vyšetření</w:t>
      </w:r>
      <w:r w:rsidR="003001B7" w:rsidRPr="00383E22">
        <w:rPr>
          <w:szCs w:val="22"/>
        </w:rPr>
        <w:t xml:space="preserve"> </w:t>
      </w:r>
      <w:r w:rsidRPr="00383E22">
        <w:rPr>
          <w:szCs w:val="22"/>
        </w:rPr>
        <w:t>jaterních a renálních funkcí a krevní obraz.</w:t>
      </w:r>
    </w:p>
    <w:p w14:paraId="0111776B" w14:textId="13D167A3" w:rsidR="00BD0909" w:rsidRPr="00383E22" w:rsidRDefault="00BD0909" w:rsidP="00BD0909">
      <w:pPr>
        <w:rPr>
          <w:szCs w:val="22"/>
        </w:rPr>
      </w:pPr>
      <w:r w:rsidRPr="00383E22">
        <w:rPr>
          <w:szCs w:val="22"/>
        </w:rPr>
        <w:t xml:space="preserve">U psů a koček s </w:t>
      </w:r>
      <w:r w:rsidR="003001B7" w:rsidRPr="003001B7">
        <w:rPr>
          <w:szCs w:val="22"/>
        </w:rPr>
        <w:t>poruchami funkce ledvin a/nebo jater</w:t>
      </w:r>
      <w:r w:rsidRPr="00383E22">
        <w:rPr>
          <w:szCs w:val="22"/>
        </w:rPr>
        <w:t xml:space="preserve"> doprovázenými závažnými metabolickými </w:t>
      </w:r>
      <w:r w:rsidR="003001B7">
        <w:rPr>
          <w:szCs w:val="22"/>
        </w:rPr>
        <w:t>odchylkami</w:t>
      </w:r>
      <w:r w:rsidRPr="00383E22">
        <w:rPr>
          <w:szCs w:val="22"/>
        </w:rPr>
        <w:t xml:space="preserve"> je nutno pečlivě určit podávané dávky a monitorovat zdravotní stav prováděním </w:t>
      </w:r>
      <w:r w:rsidR="003001B7">
        <w:rPr>
          <w:szCs w:val="22"/>
        </w:rPr>
        <w:t>vyšetření</w:t>
      </w:r>
      <w:r w:rsidR="003001B7" w:rsidRPr="00383E22">
        <w:rPr>
          <w:szCs w:val="22"/>
        </w:rPr>
        <w:t xml:space="preserve"> </w:t>
      </w:r>
      <w:r w:rsidRPr="00383E22">
        <w:rPr>
          <w:szCs w:val="22"/>
        </w:rPr>
        <w:t>krevního séra během léčby.</w:t>
      </w:r>
    </w:p>
    <w:p w14:paraId="161EE2BF" w14:textId="6F51CE54" w:rsidR="00BD0909" w:rsidRPr="00383E22" w:rsidRDefault="00BD0909" w:rsidP="00BD0909">
      <w:pPr>
        <w:rPr>
          <w:bCs/>
          <w:i/>
          <w:szCs w:val="22"/>
        </w:rPr>
      </w:pPr>
      <w:r w:rsidRPr="00383E22">
        <w:rPr>
          <w:szCs w:val="22"/>
        </w:rPr>
        <w:t xml:space="preserve">Nedoporučuje se používat tento </w:t>
      </w:r>
      <w:r w:rsidR="003001B7">
        <w:rPr>
          <w:szCs w:val="22"/>
        </w:rPr>
        <w:t xml:space="preserve">veterinární léčivý </w:t>
      </w:r>
      <w:r w:rsidRPr="00383E22">
        <w:rPr>
          <w:szCs w:val="22"/>
        </w:rPr>
        <w:t>přípravek u novorozených zvířat.</w:t>
      </w:r>
    </w:p>
    <w:p w14:paraId="6384C252" w14:textId="5F200D6C" w:rsidR="00BD0909" w:rsidRPr="00383E22" w:rsidRDefault="00BD0909" w:rsidP="00BD0909">
      <w:pPr>
        <w:rPr>
          <w:szCs w:val="22"/>
          <w:rtl/>
        </w:rPr>
      </w:pPr>
    </w:p>
    <w:p w14:paraId="46BB0780" w14:textId="1A1613F5" w:rsidR="00BD0909" w:rsidRDefault="00BD0909" w:rsidP="00BD0909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  <w:u w:val="single"/>
        </w:rPr>
        <w:t>Zvláštní opatření pro osobu, která podává veterinární léčivý přípravek zvířatům</w:t>
      </w:r>
      <w:r w:rsidRPr="00383E22">
        <w:rPr>
          <w:szCs w:val="22"/>
        </w:rPr>
        <w:t>:</w:t>
      </w:r>
    </w:p>
    <w:p w14:paraId="5C0853CD" w14:textId="77777777" w:rsidR="00383E22" w:rsidRPr="00383E22" w:rsidRDefault="00383E22" w:rsidP="00BD0909">
      <w:pPr>
        <w:tabs>
          <w:tab w:val="clear" w:pos="567"/>
        </w:tabs>
        <w:spacing w:line="240" w:lineRule="auto"/>
        <w:rPr>
          <w:szCs w:val="22"/>
        </w:rPr>
      </w:pPr>
    </w:p>
    <w:p w14:paraId="1530C12B" w14:textId="2FBFB2D4" w:rsidR="00BD0909" w:rsidRPr="00383E22" w:rsidRDefault="00BD0909" w:rsidP="00BD0909">
      <w:pPr>
        <w:rPr>
          <w:szCs w:val="22"/>
        </w:rPr>
      </w:pPr>
      <w:r w:rsidRPr="00383E22">
        <w:rPr>
          <w:szCs w:val="22"/>
        </w:rPr>
        <w:t>Po podání si umyjte ruce.</w:t>
      </w:r>
    </w:p>
    <w:p w14:paraId="0A6F5163" w14:textId="77777777" w:rsidR="00BD0909" w:rsidRPr="00383E22" w:rsidRDefault="00BD0909" w:rsidP="00BD0909">
      <w:pPr>
        <w:rPr>
          <w:szCs w:val="22"/>
        </w:rPr>
      </w:pPr>
      <w:r w:rsidRPr="00383E22">
        <w:rPr>
          <w:szCs w:val="22"/>
        </w:rPr>
        <w:t>Lidé se známou přecitlivělostí na lincosamidy (linkomycin a klindamycin) by se měli vyhnout kontaktu s veterinárním léčivým přípravkem.</w:t>
      </w:r>
    </w:p>
    <w:p w14:paraId="6B91F05E" w14:textId="63818638" w:rsidR="00BD0909" w:rsidRPr="00383E22" w:rsidRDefault="00BD0909" w:rsidP="00BD0909">
      <w:pPr>
        <w:tabs>
          <w:tab w:val="left" w:pos="720"/>
        </w:tabs>
        <w:ind w:hanging="1440"/>
        <w:rPr>
          <w:szCs w:val="22"/>
        </w:rPr>
      </w:pPr>
      <w:r w:rsidRPr="00383E22">
        <w:rPr>
          <w:szCs w:val="22"/>
        </w:rPr>
        <w:tab/>
        <w:t xml:space="preserve">V případě náhodného </w:t>
      </w:r>
      <w:r w:rsidR="00FC0B2D">
        <w:rPr>
          <w:szCs w:val="22"/>
        </w:rPr>
        <w:t>požití</w:t>
      </w:r>
      <w:r w:rsidR="00FC0B2D" w:rsidRPr="00383E22">
        <w:rPr>
          <w:szCs w:val="22"/>
        </w:rPr>
        <w:t xml:space="preserve"> </w:t>
      </w:r>
      <w:r w:rsidRPr="00383E22">
        <w:rPr>
          <w:szCs w:val="22"/>
        </w:rPr>
        <w:t xml:space="preserve">vyhledejte ihned lékařskou pomoc a ukažte příbalovou informaci nebo etiketu praktickému lékaři. </w:t>
      </w:r>
    </w:p>
    <w:p w14:paraId="58BF4932" w14:textId="77777777" w:rsidR="00BD0909" w:rsidRPr="00383E22" w:rsidRDefault="00BD0909" w:rsidP="00BD0909">
      <w:pPr>
        <w:rPr>
          <w:szCs w:val="22"/>
        </w:rPr>
      </w:pPr>
    </w:p>
    <w:p w14:paraId="62CA0EC0" w14:textId="47B7F794" w:rsidR="0043147D" w:rsidRDefault="0043147D" w:rsidP="00BD0909">
      <w:pPr>
        <w:jc w:val="both"/>
        <w:rPr>
          <w:szCs w:val="22"/>
        </w:rPr>
      </w:pPr>
      <w:r w:rsidRPr="00383E22">
        <w:rPr>
          <w:szCs w:val="22"/>
          <w:u w:val="single"/>
        </w:rPr>
        <w:t>Březost a laktace</w:t>
      </w:r>
      <w:r w:rsidRPr="00383E22">
        <w:rPr>
          <w:szCs w:val="22"/>
        </w:rPr>
        <w:t>:</w:t>
      </w:r>
    </w:p>
    <w:p w14:paraId="77A1B7E3" w14:textId="77777777" w:rsidR="00383E22" w:rsidRPr="00383E22" w:rsidRDefault="00383E22" w:rsidP="00BD0909">
      <w:pPr>
        <w:jc w:val="both"/>
        <w:rPr>
          <w:szCs w:val="22"/>
        </w:rPr>
      </w:pPr>
    </w:p>
    <w:p w14:paraId="588FD341" w14:textId="7B070069" w:rsidR="00BD0909" w:rsidRPr="00383E22" w:rsidRDefault="00BD0909" w:rsidP="00BD0909">
      <w:pPr>
        <w:jc w:val="both"/>
        <w:rPr>
          <w:szCs w:val="22"/>
        </w:rPr>
      </w:pPr>
      <w:r w:rsidRPr="00383E22">
        <w:rPr>
          <w:szCs w:val="22"/>
        </w:rPr>
        <w:t xml:space="preserve">Přestože studie s vysokými dávkami u potkanů nasvědčují tomu, že klindamycin není teratogen a nemá významný vliv na </w:t>
      </w:r>
      <w:r w:rsidR="00771088">
        <w:rPr>
          <w:szCs w:val="22"/>
        </w:rPr>
        <w:t xml:space="preserve">reprodukční </w:t>
      </w:r>
      <w:r w:rsidRPr="00383E22">
        <w:rPr>
          <w:szCs w:val="22"/>
        </w:rPr>
        <w:t xml:space="preserve">schopnosti samců ani samic, bezpečnost tohoto veterinárního léčivého přípravku u březích fen/koček nebo chovných psů/kocourů nebyla stanovena. </w:t>
      </w:r>
    </w:p>
    <w:p w14:paraId="20A83CF5" w14:textId="4F7A3DA7" w:rsidR="00BD0909" w:rsidRPr="00383E22" w:rsidRDefault="00BD0909" w:rsidP="00BD0909">
      <w:pPr>
        <w:jc w:val="both"/>
        <w:rPr>
          <w:szCs w:val="22"/>
        </w:rPr>
      </w:pPr>
      <w:r w:rsidRPr="00383E22">
        <w:rPr>
          <w:szCs w:val="22"/>
        </w:rPr>
        <w:t>Použít pouze po zvážení poměru terapeutického prospěchu a rizika příslušným veterinárním lékařem.</w:t>
      </w:r>
      <w:r w:rsidRPr="00383E22" w:rsidDel="00F37519">
        <w:rPr>
          <w:szCs w:val="22"/>
        </w:rPr>
        <w:t xml:space="preserve"> </w:t>
      </w:r>
      <w:r w:rsidRPr="00383E22">
        <w:rPr>
          <w:szCs w:val="22"/>
        </w:rPr>
        <w:t>Klindamycin může přecházet z krve do mléka. V důsledku toho může léčba laktujících samic způsobit průjem u štěňat a koťat.</w:t>
      </w:r>
    </w:p>
    <w:p w14:paraId="6F14F423" w14:textId="645B486D" w:rsidR="00BD0909" w:rsidRPr="00383E22" w:rsidRDefault="00BD0909" w:rsidP="0043147D">
      <w:pPr>
        <w:jc w:val="both"/>
        <w:rPr>
          <w:b/>
          <w:bCs/>
          <w:szCs w:val="22"/>
        </w:rPr>
      </w:pPr>
    </w:p>
    <w:p w14:paraId="11E6CFE3" w14:textId="03581A0D" w:rsidR="00BD0909" w:rsidRPr="00383E22" w:rsidRDefault="0043147D" w:rsidP="00BD0909">
      <w:pPr>
        <w:ind w:left="567" w:hanging="567"/>
        <w:jc w:val="both"/>
        <w:rPr>
          <w:szCs w:val="22"/>
        </w:rPr>
      </w:pPr>
      <w:r w:rsidRPr="00383E22">
        <w:rPr>
          <w:szCs w:val="22"/>
          <w:u w:val="single"/>
        </w:rPr>
        <w:t>Interakce s jinými léčivými přípravky a další formy interakce</w:t>
      </w:r>
      <w:r w:rsidRPr="00383E22">
        <w:rPr>
          <w:szCs w:val="22"/>
        </w:rPr>
        <w:t>:</w:t>
      </w:r>
    </w:p>
    <w:p w14:paraId="65EC204A" w14:textId="77777777" w:rsidR="0043147D" w:rsidRPr="00383E22" w:rsidRDefault="0043147D" w:rsidP="00BD0909">
      <w:pPr>
        <w:ind w:left="567" w:hanging="567"/>
        <w:jc w:val="both"/>
        <w:rPr>
          <w:szCs w:val="22"/>
        </w:rPr>
      </w:pPr>
    </w:p>
    <w:p w14:paraId="5EC203F7" w14:textId="7AF75F40" w:rsidR="00BD0909" w:rsidRPr="00383E22" w:rsidDel="00E07D4B" w:rsidRDefault="00BD0909" w:rsidP="00BD0909">
      <w:pPr>
        <w:numPr>
          <w:ilvl w:val="0"/>
          <w:numId w:val="42"/>
        </w:numPr>
        <w:ind w:left="567" w:hanging="117"/>
        <w:jc w:val="both"/>
        <w:rPr>
          <w:szCs w:val="22"/>
        </w:rPr>
      </w:pPr>
      <w:r w:rsidRPr="00383E22">
        <w:rPr>
          <w:szCs w:val="22"/>
        </w:rPr>
        <w:t xml:space="preserve">Soli a hydroxidy hliníku, kaolin a hlinito-hořečnato-křemičitanový komplex mohou snížit vstřebávání </w:t>
      </w:r>
      <w:r w:rsidR="00771088">
        <w:rPr>
          <w:szCs w:val="22"/>
        </w:rPr>
        <w:t xml:space="preserve">z </w:t>
      </w:r>
      <w:r w:rsidR="00771088" w:rsidRPr="00383E22">
        <w:rPr>
          <w:szCs w:val="22"/>
        </w:rPr>
        <w:t>trávicí</w:t>
      </w:r>
      <w:r w:rsidR="00771088">
        <w:rPr>
          <w:szCs w:val="22"/>
        </w:rPr>
        <w:t>ho</w:t>
      </w:r>
      <w:r w:rsidR="00771088" w:rsidRPr="00383E22">
        <w:rPr>
          <w:szCs w:val="22"/>
        </w:rPr>
        <w:t xml:space="preserve"> </w:t>
      </w:r>
      <w:r w:rsidRPr="00383E22">
        <w:rPr>
          <w:szCs w:val="22"/>
        </w:rPr>
        <w:t>trakt</w:t>
      </w:r>
      <w:r w:rsidR="00771088">
        <w:rPr>
          <w:szCs w:val="22"/>
        </w:rPr>
        <w:t>u</w:t>
      </w:r>
      <w:r w:rsidRPr="00383E22">
        <w:rPr>
          <w:szCs w:val="22"/>
        </w:rPr>
        <w:t>. Tyto digestivní přípravky je nutno podávat nejméně 2 hodiny před klindamycinem.</w:t>
      </w:r>
    </w:p>
    <w:p w14:paraId="45371894" w14:textId="7F0E2743" w:rsidR="00BD0909" w:rsidRPr="00383E22" w:rsidRDefault="00BD0909" w:rsidP="00BD0909">
      <w:pPr>
        <w:numPr>
          <w:ilvl w:val="0"/>
          <w:numId w:val="42"/>
        </w:numPr>
        <w:ind w:left="567" w:hanging="117"/>
        <w:jc w:val="both"/>
        <w:rPr>
          <w:szCs w:val="22"/>
        </w:rPr>
      </w:pPr>
      <w:r w:rsidRPr="00383E22">
        <w:rPr>
          <w:szCs w:val="22"/>
        </w:rPr>
        <w:t xml:space="preserve">Cyklosporin: klindamycin může snižovat hladiny tohoto imunosupresivního </w:t>
      </w:r>
      <w:r w:rsidR="00771088" w:rsidRPr="00383E22">
        <w:rPr>
          <w:szCs w:val="22"/>
        </w:rPr>
        <w:t>lé</w:t>
      </w:r>
      <w:r w:rsidR="00771088">
        <w:rPr>
          <w:szCs w:val="22"/>
        </w:rPr>
        <w:t>čiva</w:t>
      </w:r>
      <w:r w:rsidR="00771088" w:rsidRPr="00383E22">
        <w:rPr>
          <w:szCs w:val="22"/>
        </w:rPr>
        <w:t xml:space="preserve"> </w:t>
      </w:r>
      <w:r w:rsidRPr="00383E22">
        <w:rPr>
          <w:szCs w:val="22"/>
        </w:rPr>
        <w:t>s rizikem ztráty účinnosti.</w:t>
      </w:r>
    </w:p>
    <w:p w14:paraId="16A511B3" w14:textId="5D052FD9" w:rsidR="00BD0909" w:rsidRPr="00383E22" w:rsidRDefault="00BD0909" w:rsidP="00BD0909">
      <w:pPr>
        <w:numPr>
          <w:ilvl w:val="0"/>
          <w:numId w:val="42"/>
        </w:numPr>
        <w:ind w:left="567" w:hanging="117"/>
        <w:jc w:val="both"/>
        <w:rPr>
          <w:szCs w:val="22"/>
        </w:rPr>
      </w:pPr>
      <w:r w:rsidRPr="00383E22">
        <w:rPr>
          <w:szCs w:val="22"/>
        </w:rPr>
        <w:t xml:space="preserve">Neuromuskulární blokátory: klindamycin sám o sobě vykazuje </w:t>
      </w:r>
      <w:r w:rsidR="006A7329" w:rsidRPr="006A7329">
        <w:rPr>
          <w:szCs w:val="22"/>
        </w:rPr>
        <w:t>neuromuskulárně blokující</w:t>
      </w:r>
      <w:r w:rsidR="006A7329">
        <w:rPr>
          <w:szCs w:val="22"/>
        </w:rPr>
        <w:t xml:space="preserve"> účinek</w:t>
      </w:r>
      <w:r w:rsidRPr="00383E22">
        <w:rPr>
          <w:szCs w:val="22"/>
        </w:rPr>
        <w:t xml:space="preserve"> a při použití s jinými neuromuskulárními blokátory (kurare) je nutná opatrnost. Klindamycin může zvyšovat neuromuskulární blokádu.</w:t>
      </w:r>
    </w:p>
    <w:p w14:paraId="2BF15D3E" w14:textId="2443A631" w:rsidR="00BD0909" w:rsidRPr="00ED55BA" w:rsidRDefault="00771088" w:rsidP="0043147D">
      <w:pPr>
        <w:numPr>
          <w:ilvl w:val="0"/>
          <w:numId w:val="42"/>
        </w:numPr>
        <w:ind w:left="567" w:hanging="117"/>
        <w:jc w:val="both"/>
        <w:rPr>
          <w:szCs w:val="22"/>
        </w:rPr>
      </w:pPr>
      <w:r w:rsidRPr="009349D7">
        <w:rPr>
          <w:szCs w:val="22"/>
        </w:rPr>
        <w:t>Nepoužív</w:t>
      </w:r>
      <w:r w:rsidRPr="006A7329">
        <w:rPr>
          <w:szCs w:val="22"/>
        </w:rPr>
        <w:t xml:space="preserve">at </w:t>
      </w:r>
      <w:r w:rsidR="00BD0909" w:rsidRPr="006A7329">
        <w:rPr>
          <w:szCs w:val="22"/>
        </w:rPr>
        <w:t>klindamycin současně s chloramfenikolem nebo makrolidy (erythromycin), protože může dojít k rozvinutí antagonistických účinků.</w:t>
      </w:r>
    </w:p>
    <w:p w14:paraId="6592D861" w14:textId="77777777" w:rsidR="00BD0909" w:rsidRPr="00383E22" w:rsidRDefault="00BD0909" w:rsidP="00BD0909">
      <w:pPr>
        <w:numPr>
          <w:ilvl w:val="0"/>
          <w:numId w:val="42"/>
        </w:numPr>
        <w:ind w:left="567" w:hanging="117"/>
        <w:jc w:val="both"/>
        <w:rPr>
          <w:szCs w:val="22"/>
        </w:rPr>
      </w:pPr>
      <w:r w:rsidRPr="00383E22">
        <w:rPr>
          <w:szCs w:val="22"/>
        </w:rPr>
        <w:t xml:space="preserve">Při současném použití klindamycinu a aminoglykosidů (tj. gentamicinu) nelze vyloučit riziko nežádoucích interakcí (akutní selhání ledvin). </w:t>
      </w:r>
    </w:p>
    <w:p w14:paraId="4D83FEAB" w14:textId="77777777" w:rsidR="00BD0909" w:rsidRPr="00383E22" w:rsidRDefault="00BD0909" w:rsidP="00BD0909">
      <w:pPr>
        <w:jc w:val="both"/>
        <w:rPr>
          <w:szCs w:val="22"/>
        </w:rPr>
      </w:pPr>
    </w:p>
    <w:p w14:paraId="43FE9DA4" w14:textId="5C9A8018" w:rsidR="0043147D" w:rsidRPr="00383E22" w:rsidRDefault="0043147D" w:rsidP="0043147D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  <w:u w:val="single"/>
        </w:rPr>
        <w:t>Předávkování</w:t>
      </w:r>
      <w:r w:rsidRPr="00383E22">
        <w:rPr>
          <w:szCs w:val="22"/>
        </w:rPr>
        <w:t>:</w:t>
      </w:r>
    </w:p>
    <w:p w14:paraId="2E30FCE6" w14:textId="77777777" w:rsidR="0043147D" w:rsidRPr="00383E22" w:rsidRDefault="0043147D" w:rsidP="0043147D">
      <w:pPr>
        <w:tabs>
          <w:tab w:val="clear" w:pos="567"/>
        </w:tabs>
        <w:spacing w:line="240" w:lineRule="auto"/>
        <w:rPr>
          <w:szCs w:val="22"/>
        </w:rPr>
      </w:pPr>
    </w:p>
    <w:p w14:paraId="7FABCDA3" w14:textId="348C5257" w:rsidR="00BD0909" w:rsidRPr="00383E22" w:rsidRDefault="00BD0909" w:rsidP="00BD0909">
      <w:pPr>
        <w:jc w:val="both"/>
        <w:rPr>
          <w:szCs w:val="22"/>
          <w:rtl/>
        </w:rPr>
      </w:pPr>
      <w:r w:rsidRPr="00383E22">
        <w:rPr>
          <w:szCs w:val="22"/>
        </w:rPr>
        <w:lastRenderedPageBreak/>
        <w:t xml:space="preserve">U psů byla bez nežádoucích účinků tolerována dávka 300 mg/kg. Občas bylo pozorováno zvracení, ztráta chuti k příjmu potravy, průjem, leukocytóza a zvýšení jaterních enzymů (AST, ALT). V těchto případech je nutno okamžitě </w:t>
      </w:r>
      <w:r w:rsidR="00771088" w:rsidRPr="00771088">
        <w:rPr>
          <w:szCs w:val="22"/>
        </w:rPr>
        <w:t xml:space="preserve">léčbu ukončit a zahájit </w:t>
      </w:r>
      <w:r w:rsidRPr="00383E22">
        <w:rPr>
          <w:szCs w:val="22"/>
        </w:rPr>
        <w:t>symptomatickou léčbu.</w:t>
      </w:r>
    </w:p>
    <w:p w14:paraId="7CFCF34D" w14:textId="77777777" w:rsidR="00BD0909" w:rsidRPr="00383E22" w:rsidRDefault="00BD0909" w:rsidP="00BD0909">
      <w:pPr>
        <w:ind w:left="567" w:hanging="567"/>
        <w:jc w:val="both"/>
        <w:rPr>
          <w:b/>
          <w:bCs/>
          <w:szCs w:val="22"/>
        </w:rPr>
      </w:pPr>
    </w:p>
    <w:p w14:paraId="7BEDF255" w14:textId="17592BB5" w:rsidR="0043147D" w:rsidRPr="00383E22" w:rsidRDefault="0043147D" w:rsidP="00BD0909">
      <w:pPr>
        <w:jc w:val="both"/>
        <w:rPr>
          <w:szCs w:val="22"/>
        </w:rPr>
      </w:pPr>
      <w:r w:rsidRPr="00383E22">
        <w:rPr>
          <w:szCs w:val="22"/>
          <w:u w:val="single"/>
        </w:rPr>
        <w:t>Hlavní inkompatibility</w:t>
      </w:r>
      <w:r w:rsidRPr="00383E22">
        <w:rPr>
          <w:szCs w:val="22"/>
        </w:rPr>
        <w:t>:</w:t>
      </w:r>
    </w:p>
    <w:p w14:paraId="52EE7AD8" w14:textId="77777777" w:rsidR="0043147D" w:rsidRPr="00383E22" w:rsidRDefault="0043147D" w:rsidP="00BD0909">
      <w:pPr>
        <w:jc w:val="both"/>
        <w:rPr>
          <w:szCs w:val="22"/>
        </w:rPr>
      </w:pPr>
    </w:p>
    <w:p w14:paraId="46A97B06" w14:textId="531230FB" w:rsidR="00BD0909" w:rsidRPr="00383E22" w:rsidRDefault="00BD0909" w:rsidP="00BD0909">
      <w:pPr>
        <w:jc w:val="both"/>
        <w:rPr>
          <w:szCs w:val="22"/>
        </w:rPr>
      </w:pPr>
      <w:r w:rsidRPr="00383E22">
        <w:rPr>
          <w:szCs w:val="22"/>
        </w:rPr>
        <w:t>Tento veterinární léčivý přípravek nesmí být mísen s žádnými dalšími veterinárními léčivými přípravky.</w:t>
      </w:r>
    </w:p>
    <w:p w14:paraId="147FD16E" w14:textId="7D2093C5" w:rsidR="005B1FD0" w:rsidRPr="00383E22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7.</w:t>
      </w:r>
      <w:r w:rsidRPr="00383E22">
        <w:tab/>
        <w:t>Nežádoucí účinky</w:t>
      </w:r>
    </w:p>
    <w:p w14:paraId="700B302D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C8328FC" w14:textId="77777777" w:rsidR="006425C0" w:rsidRPr="00383E22" w:rsidRDefault="006425C0" w:rsidP="006425C0">
      <w:pPr>
        <w:ind w:left="4500" w:hanging="4500"/>
        <w:jc w:val="both"/>
        <w:rPr>
          <w:szCs w:val="22"/>
        </w:rPr>
      </w:pPr>
      <w:r w:rsidRPr="00383E22">
        <w:rPr>
          <w:szCs w:val="22"/>
        </w:rPr>
        <w:t>Kočky a psi:</w:t>
      </w:r>
    </w:p>
    <w:p w14:paraId="5EC82BFA" w14:textId="77777777" w:rsidR="006425C0" w:rsidRPr="00383E22" w:rsidRDefault="006425C0" w:rsidP="006425C0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6425C0" w:rsidRPr="00383E22" w14:paraId="75EFB1FE" w14:textId="77777777" w:rsidTr="0069373C">
        <w:tc>
          <w:tcPr>
            <w:tcW w:w="1957" w:type="pct"/>
          </w:tcPr>
          <w:p w14:paraId="404C0D42" w14:textId="77777777" w:rsidR="006425C0" w:rsidRPr="00383E22" w:rsidRDefault="006425C0" w:rsidP="0069373C">
            <w:pPr>
              <w:spacing w:before="60" w:after="60"/>
              <w:rPr>
                <w:szCs w:val="22"/>
              </w:rPr>
            </w:pPr>
            <w:r w:rsidRPr="00383E22">
              <w:rPr>
                <w:szCs w:val="22"/>
              </w:rPr>
              <w:t>Velmi vzácné</w:t>
            </w:r>
          </w:p>
          <w:p w14:paraId="40A564FC" w14:textId="77777777" w:rsidR="006425C0" w:rsidRPr="00383E22" w:rsidRDefault="006425C0" w:rsidP="0069373C">
            <w:pPr>
              <w:spacing w:before="60" w:after="60"/>
              <w:rPr>
                <w:szCs w:val="22"/>
              </w:rPr>
            </w:pPr>
            <w:r w:rsidRPr="00383E22">
              <w:rPr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69A9D049" w14:textId="77777777" w:rsidR="008013CA" w:rsidRDefault="00FC303C" w:rsidP="0069373C">
            <w:pPr>
              <w:spacing w:before="60" w:after="60"/>
              <w:rPr>
                <w:iCs/>
                <w:szCs w:val="22"/>
              </w:rPr>
            </w:pPr>
            <w:r w:rsidRPr="00383E22">
              <w:rPr>
                <w:iCs/>
                <w:szCs w:val="22"/>
              </w:rPr>
              <w:t>Letargie (únava)</w:t>
            </w:r>
          </w:p>
          <w:p w14:paraId="241FE061" w14:textId="554D2D21" w:rsidR="006425C0" w:rsidRPr="00383E22" w:rsidRDefault="008013CA" w:rsidP="0069373C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Z</w:t>
            </w:r>
            <w:r w:rsidR="00FC303C" w:rsidRPr="00383E22">
              <w:rPr>
                <w:iCs/>
                <w:szCs w:val="22"/>
              </w:rPr>
              <w:t>vracení</w:t>
            </w:r>
            <w:r>
              <w:rPr>
                <w:iCs/>
                <w:szCs w:val="22"/>
              </w:rPr>
              <w:t>, P</w:t>
            </w:r>
            <w:r w:rsidR="00FC303C" w:rsidRPr="00383E22">
              <w:rPr>
                <w:iCs/>
                <w:szCs w:val="22"/>
              </w:rPr>
              <w:t>růjem</w:t>
            </w:r>
          </w:p>
        </w:tc>
      </w:tr>
    </w:tbl>
    <w:p w14:paraId="078C456D" w14:textId="77777777" w:rsidR="006425C0" w:rsidRPr="00383E22" w:rsidRDefault="006425C0" w:rsidP="006425C0">
      <w:pPr>
        <w:tabs>
          <w:tab w:val="clear" w:pos="567"/>
        </w:tabs>
        <w:spacing w:line="240" w:lineRule="auto"/>
        <w:rPr>
          <w:szCs w:val="22"/>
        </w:rPr>
      </w:pPr>
    </w:p>
    <w:p w14:paraId="3DCDFC80" w14:textId="1DBE91DC" w:rsidR="006425C0" w:rsidRPr="00383E22" w:rsidRDefault="006425C0" w:rsidP="006425C0">
      <w:pPr>
        <w:tabs>
          <w:tab w:val="left" w:pos="5400"/>
        </w:tabs>
        <w:jc w:val="both"/>
        <w:rPr>
          <w:szCs w:val="22"/>
        </w:rPr>
      </w:pPr>
      <w:r w:rsidRPr="00383E22">
        <w:rPr>
          <w:szCs w:val="22"/>
        </w:rPr>
        <w:t xml:space="preserve">Klindamycin může někdy vyvolat nadměrné pomnožení necitlivých mikroorganismů, např. rezistentních </w:t>
      </w:r>
      <w:r w:rsidRPr="00383E22">
        <w:rPr>
          <w:i/>
          <w:szCs w:val="22"/>
        </w:rPr>
        <w:t>klostridií</w:t>
      </w:r>
      <w:r w:rsidRPr="00383E22">
        <w:rPr>
          <w:szCs w:val="22"/>
        </w:rPr>
        <w:t xml:space="preserve"> a kvasinek. V případě sekundární infekce je nutno léčbu ukončit a přijmout vhodná opatření na základě klinických nálezů.</w:t>
      </w:r>
    </w:p>
    <w:p w14:paraId="691CBB97" w14:textId="6B2B714E" w:rsidR="00C114FF" w:rsidRPr="00383E22" w:rsidRDefault="00C114FF" w:rsidP="009F549F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4B2017B3" w14:textId="7ED8BAAB" w:rsidR="008013CA" w:rsidRDefault="0081532F" w:rsidP="009F549F">
      <w:pPr>
        <w:jc w:val="both"/>
        <w:rPr>
          <w:szCs w:val="22"/>
        </w:rPr>
      </w:pPr>
      <w:bookmarkStart w:id="0" w:name="_Hlk184640527"/>
      <w:r w:rsidRPr="00383E22">
        <w:rPr>
          <w:szCs w:val="22"/>
        </w:rPr>
        <w:t xml:space="preserve">Hlášení nežádoucích účinků je důležité. Umožňuje nepřetržité sledování bezpečnosti přípravku. Jestliže zaznamenáte </w:t>
      </w:r>
      <w:r w:rsidR="00391B09" w:rsidRPr="00383E22">
        <w:rPr>
          <w:szCs w:val="22"/>
        </w:rPr>
        <w:t>jakékoliv nežádoucí účinky</w:t>
      </w:r>
      <w:r w:rsidRPr="00383E22">
        <w:rPr>
          <w:szCs w:val="22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383E22">
        <w:rPr>
          <w:szCs w:val="22"/>
        </w:rPr>
        <w:t>i</w:t>
      </w:r>
      <w:r w:rsidRPr="00383E22">
        <w:rPr>
          <w:szCs w:val="22"/>
        </w:rPr>
        <w:t xml:space="preserve"> rozhodnutí o registraci </w:t>
      </w:r>
      <w:r w:rsidR="003E6225" w:rsidRPr="00383E22">
        <w:rPr>
          <w:szCs w:val="22"/>
        </w:rPr>
        <w:t xml:space="preserve">nebo </w:t>
      </w:r>
      <w:r w:rsidR="003247F4" w:rsidRPr="00383E22">
        <w:rPr>
          <w:szCs w:val="22"/>
        </w:rPr>
        <w:t xml:space="preserve">jeho </w:t>
      </w:r>
      <w:r w:rsidRPr="00383E22">
        <w:rPr>
          <w:szCs w:val="22"/>
        </w:rPr>
        <w:t>místní</w:t>
      </w:r>
      <w:r w:rsidR="003247F4" w:rsidRPr="00383E22">
        <w:rPr>
          <w:szCs w:val="22"/>
        </w:rPr>
        <w:t>mu</w:t>
      </w:r>
      <w:r w:rsidRPr="00383E22">
        <w:rPr>
          <w:szCs w:val="22"/>
        </w:rPr>
        <w:t xml:space="preserve"> zástupc</w:t>
      </w:r>
      <w:r w:rsidR="003247F4" w:rsidRPr="00383E22">
        <w:rPr>
          <w:szCs w:val="22"/>
        </w:rPr>
        <w:t>i</w:t>
      </w:r>
      <w:r w:rsidRPr="00383E22">
        <w:rPr>
          <w:szCs w:val="22"/>
        </w:rPr>
        <w:t xml:space="preserve"> s </w:t>
      </w:r>
      <w:r w:rsidR="004D2601" w:rsidRPr="00383E22">
        <w:rPr>
          <w:szCs w:val="22"/>
        </w:rPr>
        <w:t>vy</w:t>
      </w:r>
      <w:r w:rsidRPr="00383E22">
        <w:rPr>
          <w:szCs w:val="22"/>
        </w:rPr>
        <w:t>užitím kontaktních údajů uvedených na konci této příbalové informace nebo prostřednictvím národního systému hlášení nežádoucích účinků</w:t>
      </w:r>
      <w:r w:rsidR="003E6225" w:rsidRPr="00383E22">
        <w:rPr>
          <w:szCs w:val="22"/>
        </w:rPr>
        <w:t>:</w:t>
      </w:r>
      <w:r w:rsidRPr="00383E22">
        <w:rPr>
          <w:szCs w:val="22"/>
        </w:rPr>
        <w:t xml:space="preserve"> </w:t>
      </w:r>
    </w:p>
    <w:p w14:paraId="578942C6" w14:textId="77777777" w:rsidR="008013CA" w:rsidRDefault="008013CA" w:rsidP="006425C0">
      <w:pPr>
        <w:rPr>
          <w:szCs w:val="22"/>
        </w:rPr>
      </w:pPr>
    </w:p>
    <w:p w14:paraId="293A1847" w14:textId="77777777" w:rsidR="008013CA" w:rsidRDefault="008013CA" w:rsidP="008013CA">
      <w:r>
        <w:t xml:space="preserve">Ústav pro státní kontrolu veterinárních biopreparátů a léčiv </w:t>
      </w:r>
    </w:p>
    <w:p w14:paraId="34C22500" w14:textId="77777777" w:rsidR="008013CA" w:rsidRDefault="008013CA" w:rsidP="008013CA">
      <w:r>
        <w:t xml:space="preserve">Hudcova 232/56a </w:t>
      </w:r>
    </w:p>
    <w:p w14:paraId="1712363D" w14:textId="77777777" w:rsidR="008013CA" w:rsidRDefault="008013CA" w:rsidP="008013CA">
      <w:r>
        <w:t xml:space="preserve">621 00 Brno </w:t>
      </w:r>
    </w:p>
    <w:p w14:paraId="30B76F58" w14:textId="77777777" w:rsidR="008013CA" w:rsidRDefault="008013CA" w:rsidP="008013CA">
      <w:r>
        <w:t xml:space="preserve">e-mail: </w:t>
      </w:r>
      <w:hyperlink r:id="rId10" w:history="1">
        <w:r w:rsidRPr="00CF3506">
          <w:rPr>
            <w:rStyle w:val="Hypertextovodkaz"/>
          </w:rPr>
          <w:t>adr@uskvbl.cz</w:t>
        </w:r>
      </w:hyperlink>
      <w:r>
        <w:t xml:space="preserve"> </w:t>
      </w:r>
    </w:p>
    <w:p w14:paraId="08374AC1" w14:textId="77777777" w:rsidR="008013CA" w:rsidRDefault="008013CA" w:rsidP="008013CA">
      <w:r>
        <w:t xml:space="preserve">tel.: +420 720 940 693 </w:t>
      </w:r>
    </w:p>
    <w:p w14:paraId="4C3B820A" w14:textId="759782B5" w:rsidR="008013CA" w:rsidRDefault="008013CA" w:rsidP="008013CA">
      <w:r>
        <w:t xml:space="preserve">webové stránky: </w:t>
      </w:r>
      <w:hyperlink r:id="rId11" w:history="1">
        <w:r w:rsidRPr="00A271AB">
          <w:rPr>
            <w:rStyle w:val="Hypertextovodkaz"/>
          </w:rPr>
          <w:t>http://www.uskvbl.cz/cs/farmakovigilance</w:t>
        </w:r>
      </w:hyperlink>
    </w:p>
    <w:p w14:paraId="2925F7DE" w14:textId="77777777" w:rsidR="008013CA" w:rsidRDefault="008013CA" w:rsidP="008013CA">
      <w:pPr>
        <w:rPr>
          <w:szCs w:val="22"/>
        </w:rPr>
      </w:pPr>
    </w:p>
    <w:p w14:paraId="75F01681" w14:textId="3B1ADE7A" w:rsidR="008C7CE5" w:rsidRPr="00383E22" w:rsidRDefault="008C7CE5" w:rsidP="006425C0">
      <w:pPr>
        <w:rPr>
          <w:i/>
          <w:iCs/>
          <w:szCs w:val="22"/>
        </w:rPr>
      </w:pPr>
    </w:p>
    <w:bookmarkEnd w:id="0"/>
    <w:p w14:paraId="29BF4B88" w14:textId="169C3DA4" w:rsidR="00E124D3" w:rsidRPr="00383E22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383E22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383E22" w:rsidRDefault="0081532F" w:rsidP="009F549F">
      <w:pPr>
        <w:pStyle w:val="Style1"/>
        <w:jc w:val="both"/>
      </w:pPr>
      <w:r w:rsidRPr="00383E22">
        <w:rPr>
          <w:highlight w:val="lightGray"/>
        </w:rPr>
        <w:t>8.</w:t>
      </w:r>
      <w:r w:rsidRPr="00383E22">
        <w:tab/>
        <w:t>Dávkování pro každý druh, cesty a způsob podání</w:t>
      </w:r>
    </w:p>
    <w:p w14:paraId="6EEA3383" w14:textId="77777777" w:rsidR="00C114FF" w:rsidRPr="00383E22" w:rsidRDefault="00C114FF" w:rsidP="009F549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1BA9B0" w14:textId="77777777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>Pouze pro perorální podání.</w:t>
      </w:r>
    </w:p>
    <w:p w14:paraId="39499F27" w14:textId="2DC962D7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>K zajištění podání správné dávky je nutno co nejpřesněji stanovit živou hmotnost.</w:t>
      </w:r>
    </w:p>
    <w:p w14:paraId="586B6951" w14:textId="77777777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>Doporučené dávkování:</w:t>
      </w:r>
    </w:p>
    <w:p w14:paraId="2BB43393" w14:textId="77777777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>Kočky:</w:t>
      </w:r>
    </w:p>
    <w:p w14:paraId="3B2B5E80" w14:textId="77777777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 xml:space="preserve">- infikované rána abscesy: 11 mg klindamycinu na kg živé hmotnosti za 24 hod nebo 5,5 mg/kg za 12 hod po dobu 7 až 10 dnů </w:t>
      </w:r>
    </w:p>
    <w:p w14:paraId="09D53503" w14:textId="77777777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>Pokud není po 4 dnech pozorován terapeutický účinek, je nutno léčbu zastavit.</w:t>
      </w:r>
    </w:p>
    <w:p w14:paraId="535F65C4" w14:textId="77777777" w:rsidR="006425C0" w:rsidRPr="00383E22" w:rsidRDefault="006425C0" w:rsidP="009F549F">
      <w:pPr>
        <w:jc w:val="both"/>
        <w:rPr>
          <w:szCs w:val="22"/>
        </w:rPr>
      </w:pPr>
    </w:p>
    <w:p w14:paraId="0DCFFA74" w14:textId="77777777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>Psi:</w:t>
      </w:r>
    </w:p>
    <w:p w14:paraId="7EC7FD58" w14:textId="77777777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>- Infikované rány, abscesy a infekce dutiny ústní/zubů: 11 mg klindamycinu na kg živé hmotnosti za 24 hod nebo 5,5 mg/kg za 12 hod po dobu 7 až 10 dnů.</w:t>
      </w:r>
    </w:p>
    <w:p w14:paraId="594F0491" w14:textId="77777777" w:rsidR="006425C0" w:rsidRPr="00383E22" w:rsidRDefault="006425C0" w:rsidP="009F549F">
      <w:pPr>
        <w:jc w:val="both"/>
        <w:rPr>
          <w:szCs w:val="22"/>
          <w:highlight w:val="magenta"/>
        </w:rPr>
      </w:pPr>
      <w:r w:rsidRPr="00383E22">
        <w:rPr>
          <w:szCs w:val="22"/>
        </w:rPr>
        <w:t>Pokud není po 4 dnech pozorován terapeutický účinek, je nutno léčbu zastavit.</w:t>
      </w:r>
      <w:r w:rsidRPr="00383E22">
        <w:rPr>
          <w:szCs w:val="22"/>
          <w:highlight w:val="magenta"/>
        </w:rPr>
        <w:t xml:space="preserve"> </w:t>
      </w:r>
    </w:p>
    <w:p w14:paraId="08B50C7E" w14:textId="21E1A5F4" w:rsidR="006425C0" w:rsidRPr="00383E22" w:rsidRDefault="006425C0" w:rsidP="009F549F">
      <w:pPr>
        <w:jc w:val="both"/>
        <w:rPr>
          <w:szCs w:val="22"/>
        </w:rPr>
      </w:pPr>
      <w:r w:rsidRPr="00383E22">
        <w:rPr>
          <w:szCs w:val="22"/>
        </w:rPr>
        <w:t xml:space="preserve">- Léčba kostních infekcí (osteomyelitidy): 11 mg klindamycinu na kg živé hmotnosti každých 12 hodin </w:t>
      </w:r>
      <w:r w:rsidR="00771088" w:rsidRPr="00771088">
        <w:rPr>
          <w:szCs w:val="22"/>
        </w:rPr>
        <w:t>po dobu minimálně 28 dnů</w:t>
      </w:r>
      <w:r w:rsidRPr="00383E22">
        <w:rPr>
          <w:szCs w:val="22"/>
        </w:rPr>
        <w:t>. Léčbu je nutno přerušit, pokud za prvních 14 dnů není pozorován terapeutický účinek.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628"/>
        <w:gridCol w:w="4860"/>
      </w:tblGrid>
      <w:tr w:rsidR="006425C0" w:rsidRPr="00383E22" w14:paraId="2420B378" w14:textId="77777777" w:rsidTr="0069373C">
        <w:trPr>
          <w:trHeight w:val="170"/>
        </w:trPr>
        <w:tc>
          <w:tcPr>
            <w:tcW w:w="2628" w:type="dxa"/>
          </w:tcPr>
          <w:p w14:paraId="24ACF1B3" w14:textId="77777777" w:rsidR="006425C0" w:rsidRPr="00383E22" w:rsidRDefault="006425C0" w:rsidP="0069373C">
            <w:pPr>
              <w:rPr>
                <w:szCs w:val="22"/>
              </w:rPr>
            </w:pPr>
          </w:p>
        </w:tc>
        <w:tc>
          <w:tcPr>
            <w:tcW w:w="4860" w:type="dxa"/>
          </w:tcPr>
          <w:p w14:paraId="19C13526" w14:textId="77777777" w:rsidR="006425C0" w:rsidRPr="00383E22" w:rsidRDefault="006425C0" w:rsidP="0069373C">
            <w:pPr>
              <w:rPr>
                <w:szCs w:val="22"/>
              </w:rPr>
            </w:pPr>
          </w:p>
        </w:tc>
      </w:tr>
      <w:tr w:rsidR="006425C0" w:rsidRPr="00383E22" w14:paraId="3E87DEB2" w14:textId="77777777" w:rsidTr="0069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28" w:type="dxa"/>
          </w:tcPr>
          <w:p w14:paraId="1591D312" w14:textId="77777777" w:rsidR="006425C0" w:rsidRPr="00383E22" w:rsidRDefault="006425C0" w:rsidP="0069373C">
            <w:pPr>
              <w:rPr>
                <w:szCs w:val="22"/>
              </w:rPr>
            </w:pPr>
            <w:r w:rsidRPr="00383E22">
              <w:rPr>
                <w:szCs w:val="22"/>
              </w:rPr>
              <w:t>Dávkování</w:t>
            </w:r>
          </w:p>
        </w:tc>
        <w:tc>
          <w:tcPr>
            <w:tcW w:w="4860" w:type="dxa"/>
          </w:tcPr>
          <w:p w14:paraId="165B102A" w14:textId="77777777" w:rsidR="006425C0" w:rsidRPr="00383E22" w:rsidRDefault="006425C0" w:rsidP="0069373C">
            <w:pPr>
              <w:rPr>
                <w:szCs w:val="22"/>
              </w:rPr>
            </w:pPr>
            <w:r w:rsidRPr="00383E22">
              <w:rPr>
                <w:szCs w:val="22"/>
              </w:rPr>
              <w:t>Objem podávaný na kg živé hmotnosti</w:t>
            </w:r>
          </w:p>
        </w:tc>
      </w:tr>
      <w:tr w:rsidR="006425C0" w:rsidRPr="00383E22" w14:paraId="1BC9E09D" w14:textId="77777777" w:rsidTr="0069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28" w:type="dxa"/>
          </w:tcPr>
          <w:p w14:paraId="7D77186B" w14:textId="77777777" w:rsidR="006425C0" w:rsidRPr="00383E22" w:rsidRDefault="006425C0" w:rsidP="0069373C">
            <w:pPr>
              <w:rPr>
                <w:szCs w:val="22"/>
              </w:rPr>
            </w:pPr>
            <w:r w:rsidRPr="00383E22">
              <w:rPr>
                <w:szCs w:val="22"/>
              </w:rPr>
              <w:t xml:space="preserve">5,5 mg/kg </w:t>
            </w:r>
          </w:p>
        </w:tc>
        <w:tc>
          <w:tcPr>
            <w:tcW w:w="4860" w:type="dxa"/>
          </w:tcPr>
          <w:p w14:paraId="5CF0C531" w14:textId="77777777" w:rsidR="006425C0" w:rsidRPr="00383E22" w:rsidRDefault="006425C0" w:rsidP="0069373C">
            <w:pPr>
              <w:rPr>
                <w:szCs w:val="22"/>
              </w:rPr>
            </w:pPr>
            <w:r w:rsidRPr="00383E22">
              <w:rPr>
                <w:szCs w:val="22"/>
              </w:rPr>
              <w:t xml:space="preserve">Odpovídá cca 0,25 ml na kg </w:t>
            </w:r>
          </w:p>
        </w:tc>
      </w:tr>
      <w:tr w:rsidR="006425C0" w:rsidRPr="00383E22" w14:paraId="459779E9" w14:textId="77777777" w:rsidTr="006937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28" w:type="dxa"/>
          </w:tcPr>
          <w:p w14:paraId="2ABAAB85" w14:textId="77777777" w:rsidR="006425C0" w:rsidRPr="00383E22" w:rsidRDefault="006425C0" w:rsidP="0069373C">
            <w:pPr>
              <w:rPr>
                <w:szCs w:val="22"/>
              </w:rPr>
            </w:pPr>
            <w:r w:rsidRPr="00383E22">
              <w:rPr>
                <w:szCs w:val="22"/>
              </w:rPr>
              <w:t xml:space="preserve">11 mg/kg </w:t>
            </w:r>
          </w:p>
        </w:tc>
        <w:tc>
          <w:tcPr>
            <w:tcW w:w="4860" w:type="dxa"/>
          </w:tcPr>
          <w:p w14:paraId="5652E7E7" w14:textId="77777777" w:rsidR="006425C0" w:rsidRPr="00383E22" w:rsidRDefault="006425C0" w:rsidP="0069373C">
            <w:pPr>
              <w:rPr>
                <w:szCs w:val="22"/>
              </w:rPr>
            </w:pPr>
            <w:r w:rsidRPr="00383E22">
              <w:rPr>
                <w:szCs w:val="22"/>
              </w:rPr>
              <w:t xml:space="preserve">Odpovídá cca 0,5 ml na kg </w:t>
            </w:r>
          </w:p>
        </w:tc>
      </w:tr>
    </w:tbl>
    <w:p w14:paraId="29C70C52" w14:textId="22093955" w:rsidR="00C80401" w:rsidRPr="00383E22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6E93E4C" w14:textId="77777777" w:rsidR="006425C0" w:rsidRPr="00383E22" w:rsidRDefault="006425C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9.</w:t>
      </w:r>
      <w:r w:rsidRPr="00383E22">
        <w:tab/>
        <w:t>Informace o správném podávání</w:t>
      </w:r>
    </w:p>
    <w:p w14:paraId="624424AD" w14:textId="77777777" w:rsidR="00F520FE" w:rsidRPr="00383E22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4A46EFEB" w14:textId="77777777" w:rsidR="006425C0" w:rsidRPr="00383E22" w:rsidRDefault="006425C0" w:rsidP="006425C0">
      <w:pPr>
        <w:tabs>
          <w:tab w:val="left" w:pos="540"/>
        </w:tabs>
        <w:rPr>
          <w:b/>
          <w:bCs/>
          <w:szCs w:val="22"/>
        </w:rPr>
      </w:pPr>
      <w:r w:rsidRPr="00383E22">
        <w:rPr>
          <w:szCs w:val="22"/>
        </w:rPr>
        <w:t>Součástí balení je 3 ml odměrná stříkačka, která usnadňuje podávání tohoto veterinárního léčivého přípravku.</w:t>
      </w:r>
    </w:p>
    <w:p w14:paraId="10C2E96A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383E22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383E22" w:rsidRDefault="0081532F" w:rsidP="00675E3C">
      <w:pPr>
        <w:pStyle w:val="Style1"/>
        <w:keepNext/>
      </w:pPr>
      <w:r w:rsidRPr="00383E22">
        <w:rPr>
          <w:highlight w:val="lightGray"/>
        </w:rPr>
        <w:t>10.</w:t>
      </w:r>
      <w:r w:rsidRPr="00383E22">
        <w:tab/>
        <w:t>Ochranné lhůty</w:t>
      </w:r>
    </w:p>
    <w:p w14:paraId="352D3C6F" w14:textId="77777777" w:rsidR="00C114FF" w:rsidRPr="00383E22" w:rsidRDefault="00C114FF" w:rsidP="00675E3C">
      <w:pPr>
        <w:keepNext/>
        <w:tabs>
          <w:tab w:val="clear" w:pos="567"/>
        </w:tabs>
        <w:spacing w:line="240" w:lineRule="auto"/>
        <w:rPr>
          <w:iCs/>
          <w:szCs w:val="22"/>
        </w:rPr>
      </w:pPr>
    </w:p>
    <w:p w14:paraId="56890CB5" w14:textId="77777777" w:rsidR="006425C0" w:rsidRPr="00383E22" w:rsidRDefault="006425C0" w:rsidP="006425C0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</w:rPr>
        <w:t>Neuplatňuje se.</w:t>
      </w:r>
    </w:p>
    <w:p w14:paraId="237445D8" w14:textId="45D937B6" w:rsidR="00DB468A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93B285E" w14:textId="77777777" w:rsidR="00675E3C" w:rsidRPr="00383E22" w:rsidRDefault="00675E3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11.</w:t>
      </w:r>
      <w:r w:rsidRPr="00383E22">
        <w:tab/>
        <w:t>Zvláštní opatření pro uchovávání</w:t>
      </w:r>
    </w:p>
    <w:p w14:paraId="5437653D" w14:textId="77777777" w:rsidR="00C114FF" w:rsidRPr="00383E22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6E2B6C5" w14:textId="68A83EEE" w:rsidR="006425C0" w:rsidRPr="00383E22" w:rsidRDefault="006425C0" w:rsidP="006425C0">
      <w:pPr>
        <w:numPr>
          <w:ilvl w:val="12"/>
          <w:numId w:val="0"/>
        </w:numPr>
        <w:rPr>
          <w:noProof/>
          <w:szCs w:val="22"/>
        </w:rPr>
      </w:pPr>
      <w:r w:rsidRPr="00383E22">
        <w:rPr>
          <w:noProof/>
          <w:szCs w:val="22"/>
        </w:rPr>
        <w:t>Uchováv</w:t>
      </w:r>
      <w:r w:rsidR="00FC0B2D">
        <w:rPr>
          <w:noProof/>
          <w:szCs w:val="22"/>
        </w:rPr>
        <w:t>ejte</w:t>
      </w:r>
      <w:r w:rsidRPr="00383E22">
        <w:rPr>
          <w:noProof/>
          <w:szCs w:val="22"/>
        </w:rPr>
        <w:t xml:space="preserve"> mimo do</w:t>
      </w:r>
      <w:r w:rsidR="00FC0B2D">
        <w:rPr>
          <w:noProof/>
          <w:szCs w:val="22"/>
        </w:rPr>
        <w:t>hled a do</w:t>
      </w:r>
      <w:r w:rsidRPr="00383E22">
        <w:rPr>
          <w:noProof/>
          <w:szCs w:val="22"/>
        </w:rPr>
        <w:t>sah dětí.</w:t>
      </w:r>
    </w:p>
    <w:p w14:paraId="5228573A" w14:textId="071ABC74" w:rsidR="006425C0" w:rsidRPr="00383E22" w:rsidRDefault="00471750" w:rsidP="006425C0">
      <w:pPr>
        <w:numPr>
          <w:ilvl w:val="12"/>
          <w:numId w:val="0"/>
        </w:numPr>
        <w:rPr>
          <w:noProof/>
          <w:szCs w:val="22"/>
        </w:rPr>
      </w:pPr>
      <w:r w:rsidRPr="00383E22">
        <w:rPr>
          <w:noProof/>
          <w:szCs w:val="22"/>
        </w:rPr>
        <w:t>Tento veterinární léčivý přípravek nevyžaduje žádné zvláštní podmínky uchovávání.</w:t>
      </w:r>
    </w:p>
    <w:p w14:paraId="128A5014" w14:textId="70F3F9AF" w:rsidR="006425C0" w:rsidRPr="00383E22" w:rsidRDefault="006425C0" w:rsidP="006425C0">
      <w:pPr>
        <w:numPr>
          <w:ilvl w:val="12"/>
          <w:numId w:val="0"/>
        </w:numPr>
        <w:rPr>
          <w:noProof/>
          <w:szCs w:val="22"/>
        </w:rPr>
      </w:pPr>
      <w:r w:rsidRPr="00383E22">
        <w:rPr>
          <w:noProof/>
          <w:szCs w:val="22"/>
        </w:rPr>
        <w:t>Nepoužívejte tento veterinární léčivý přípravek po uplynutí doby použitelnosti uvedené na etiketě a krabičce po Exp.</w:t>
      </w:r>
    </w:p>
    <w:p w14:paraId="5F2EBEB2" w14:textId="77777777" w:rsidR="006425C0" w:rsidRPr="00383E22" w:rsidRDefault="006425C0" w:rsidP="006425C0">
      <w:pPr>
        <w:numPr>
          <w:ilvl w:val="12"/>
          <w:numId w:val="0"/>
        </w:numPr>
        <w:rPr>
          <w:noProof/>
          <w:szCs w:val="22"/>
        </w:rPr>
      </w:pPr>
      <w:r w:rsidRPr="00383E22">
        <w:rPr>
          <w:noProof/>
          <w:szCs w:val="22"/>
        </w:rPr>
        <w:t>Doba použitelnosti po prvním otevření vnitřního obalu: 28 dnů.</w:t>
      </w:r>
    </w:p>
    <w:p w14:paraId="126FF42E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383E22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383E22" w:rsidRDefault="0081532F" w:rsidP="00675E3C">
      <w:pPr>
        <w:pStyle w:val="Style1"/>
        <w:keepNext/>
      </w:pPr>
      <w:r w:rsidRPr="00383E22">
        <w:rPr>
          <w:highlight w:val="lightGray"/>
        </w:rPr>
        <w:t>12.</w:t>
      </w:r>
      <w:r w:rsidRPr="00383E22">
        <w:tab/>
        <w:t xml:space="preserve">Zvláštní opatření pro </w:t>
      </w:r>
      <w:r w:rsidR="00CF069C" w:rsidRPr="00383E22">
        <w:t>likvidaci</w:t>
      </w:r>
    </w:p>
    <w:p w14:paraId="7C575CD6" w14:textId="77777777" w:rsidR="00C114FF" w:rsidRPr="00383E22" w:rsidRDefault="00C114FF" w:rsidP="00675E3C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47DF82F4" w:rsidR="00C114FF" w:rsidRPr="00383E22" w:rsidRDefault="0081532F" w:rsidP="00A9226B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</w:rPr>
        <w:t>Léčivé přípravky se nesmí likvidovat prostřednictvím</w:t>
      </w:r>
      <w:r w:rsidR="006425C0" w:rsidRPr="00383E22">
        <w:rPr>
          <w:szCs w:val="22"/>
        </w:rPr>
        <w:t xml:space="preserve"> odpadní </w:t>
      </w:r>
      <w:r w:rsidR="006425C0" w:rsidRPr="00675E3C">
        <w:rPr>
          <w:szCs w:val="22"/>
        </w:rPr>
        <w:t xml:space="preserve">vody </w:t>
      </w:r>
      <w:r w:rsidRPr="009F549F">
        <w:rPr>
          <w:szCs w:val="22"/>
        </w:rPr>
        <w:t>či domovního odpadu</w:t>
      </w:r>
      <w:r w:rsidRPr="00675E3C">
        <w:rPr>
          <w:szCs w:val="22"/>
        </w:rPr>
        <w:t>.</w:t>
      </w:r>
    </w:p>
    <w:p w14:paraId="47BD2E58" w14:textId="3FEE7A75" w:rsidR="00DB468A" w:rsidRPr="00383E2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40F3590" w14:textId="77777777" w:rsidR="0064249E" w:rsidRPr="00383E22" w:rsidRDefault="0081532F" w:rsidP="00DB468A">
      <w:pPr>
        <w:rPr>
          <w:szCs w:val="22"/>
        </w:rPr>
      </w:pPr>
      <w:r w:rsidRPr="00383E22">
        <w:rPr>
          <w:szCs w:val="22"/>
        </w:rPr>
        <w:t>Všechen n</w:t>
      </w:r>
      <w:r w:rsidR="00DA2A06" w:rsidRPr="00383E22">
        <w:rPr>
          <w:szCs w:val="22"/>
        </w:rPr>
        <w:t>epoužitý veterinární léčivý přípravek nebo odpad</w:t>
      </w:r>
      <w:r w:rsidR="00905CAB" w:rsidRPr="00383E22">
        <w:rPr>
          <w:szCs w:val="22"/>
        </w:rPr>
        <w:t>, který pochází z</w:t>
      </w:r>
      <w:r w:rsidR="00115BD5" w:rsidRPr="00383E22">
        <w:rPr>
          <w:szCs w:val="22"/>
        </w:rPr>
        <w:t> </w:t>
      </w:r>
      <w:r w:rsidR="00905CAB" w:rsidRPr="00383E22">
        <w:rPr>
          <w:szCs w:val="22"/>
        </w:rPr>
        <w:t>tohoto</w:t>
      </w:r>
      <w:r w:rsidR="00115BD5" w:rsidRPr="00383E22">
        <w:rPr>
          <w:szCs w:val="22"/>
        </w:rPr>
        <w:t xml:space="preserve"> přípravku, </w:t>
      </w:r>
      <w:r w:rsidR="007616B4" w:rsidRPr="00383E22">
        <w:rPr>
          <w:szCs w:val="22"/>
        </w:rPr>
        <w:t xml:space="preserve">likvidujte </w:t>
      </w:r>
      <w:r w:rsidR="002446DC" w:rsidRPr="00383E22">
        <w:rPr>
          <w:szCs w:val="22"/>
        </w:rPr>
        <w:t xml:space="preserve">odevzdáním </w:t>
      </w:r>
      <w:r w:rsidR="00DA2A06" w:rsidRPr="00383E22">
        <w:rPr>
          <w:szCs w:val="22"/>
        </w:rPr>
        <w:t xml:space="preserve">v souladu s místními požadavky </w:t>
      </w:r>
      <w:r w:rsidR="00330CC1" w:rsidRPr="00383E22">
        <w:rPr>
          <w:szCs w:val="22"/>
        </w:rPr>
        <w:t>a </w:t>
      </w:r>
      <w:r w:rsidR="00DA2A06" w:rsidRPr="00383E22">
        <w:rPr>
          <w:szCs w:val="22"/>
        </w:rPr>
        <w:t xml:space="preserve">platnými národními systémy sběru. </w:t>
      </w:r>
    </w:p>
    <w:p w14:paraId="3FA7CEB8" w14:textId="687322E9" w:rsidR="00DB468A" w:rsidRPr="00383E22" w:rsidRDefault="00DA2A06" w:rsidP="00DB468A">
      <w:pPr>
        <w:rPr>
          <w:szCs w:val="22"/>
        </w:rPr>
      </w:pPr>
      <w:r w:rsidRPr="00383E22">
        <w:rPr>
          <w:szCs w:val="22"/>
        </w:rPr>
        <w:t>Tato opatření napomáhají chránit životní prostředí.</w:t>
      </w:r>
    </w:p>
    <w:p w14:paraId="23B24023" w14:textId="77777777" w:rsidR="00DB468A" w:rsidRPr="00383E2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5349A6" w14:textId="21D57603" w:rsidR="00C114FF" w:rsidRPr="00383E22" w:rsidRDefault="0081532F" w:rsidP="00A9226B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</w:rPr>
        <w:t>O možnostech likvidace nepotřebných léčivých přípravků se poraďte s </w:t>
      </w:r>
      <w:r w:rsidR="0064249E" w:rsidRPr="00383E22">
        <w:rPr>
          <w:szCs w:val="22"/>
        </w:rPr>
        <w:t>vaším veterinárním lékařem</w:t>
      </w:r>
      <w:r w:rsidR="00675E3C">
        <w:rPr>
          <w:szCs w:val="22"/>
        </w:rPr>
        <w:t xml:space="preserve"> nebo lékárníkem</w:t>
      </w:r>
      <w:r w:rsidR="003C3E0E" w:rsidRPr="00383E22">
        <w:rPr>
          <w:szCs w:val="22"/>
        </w:rPr>
        <w:t>.</w:t>
      </w:r>
    </w:p>
    <w:p w14:paraId="7E3D0AFD" w14:textId="77777777" w:rsidR="00DB468A" w:rsidRPr="00383E22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383E22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383E22" w:rsidRDefault="0081532F" w:rsidP="00B13B6D">
      <w:pPr>
        <w:pStyle w:val="Style1"/>
      </w:pPr>
      <w:r w:rsidRPr="00383E22">
        <w:rPr>
          <w:highlight w:val="lightGray"/>
        </w:rPr>
        <w:t>13.</w:t>
      </w:r>
      <w:r w:rsidRPr="00383E22">
        <w:tab/>
        <w:t>Klasifikace veterinárních léčivých přípravků</w:t>
      </w:r>
    </w:p>
    <w:p w14:paraId="76BF11F0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ED1391" w14:textId="77777777" w:rsidR="0064249E" w:rsidRPr="00383E22" w:rsidRDefault="0064249E" w:rsidP="0064249E">
      <w:pPr>
        <w:numPr>
          <w:ilvl w:val="12"/>
          <w:numId w:val="0"/>
        </w:numPr>
        <w:rPr>
          <w:szCs w:val="22"/>
        </w:rPr>
      </w:pPr>
      <w:r w:rsidRPr="00383E22">
        <w:rPr>
          <w:szCs w:val="22"/>
        </w:rPr>
        <w:t>Veterinární léčivý přípravek je vydáván pouze na předpis.</w:t>
      </w:r>
    </w:p>
    <w:p w14:paraId="17409589" w14:textId="77777777" w:rsidR="00CC784E" w:rsidRPr="00383E22" w:rsidRDefault="00CC784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383E22" w:rsidRDefault="0081532F" w:rsidP="00B13B6D">
      <w:pPr>
        <w:pStyle w:val="Style1"/>
      </w:pPr>
      <w:r w:rsidRPr="00383E22">
        <w:rPr>
          <w:highlight w:val="lightGray"/>
        </w:rPr>
        <w:t>14.</w:t>
      </w:r>
      <w:r w:rsidRPr="00383E22">
        <w:tab/>
        <w:t>Registrační čísla a velikosti balení</w:t>
      </w:r>
    </w:p>
    <w:p w14:paraId="7A2F65F6" w14:textId="77777777" w:rsidR="00DB468A" w:rsidRPr="00383E2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136F70A" w14:textId="77777777" w:rsidR="009F549F" w:rsidRDefault="009F549F" w:rsidP="0064249E">
      <w:pPr>
        <w:rPr>
          <w:szCs w:val="22"/>
        </w:rPr>
      </w:pPr>
      <w:r w:rsidRPr="009F549F">
        <w:rPr>
          <w:szCs w:val="22"/>
        </w:rPr>
        <w:t xml:space="preserve">96/048/12-C </w:t>
      </w:r>
    </w:p>
    <w:p w14:paraId="0EA45EF3" w14:textId="77777777" w:rsidR="009F549F" w:rsidRDefault="009F549F" w:rsidP="0064249E">
      <w:pPr>
        <w:rPr>
          <w:szCs w:val="22"/>
        </w:rPr>
      </w:pPr>
    </w:p>
    <w:p w14:paraId="4456CF95" w14:textId="607C94A4" w:rsidR="0064249E" w:rsidRDefault="0064249E" w:rsidP="0064249E">
      <w:pPr>
        <w:rPr>
          <w:szCs w:val="22"/>
        </w:rPr>
      </w:pPr>
      <w:r w:rsidRPr="00383E22">
        <w:rPr>
          <w:szCs w:val="22"/>
        </w:rPr>
        <w:t>Papírová krabička s lahvičkou o objemu 22 ml</w:t>
      </w:r>
    </w:p>
    <w:p w14:paraId="265F51DD" w14:textId="77777777" w:rsidR="009F549F" w:rsidRPr="00383E22" w:rsidRDefault="009F549F" w:rsidP="0064249E">
      <w:pPr>
        <w:rPr>
          <w:szCs w:val="22"/>
        </w:rPr>
      </w:pPr>
      <w:bookmarkStart w:id="1" w:name="_GoBack"/>
      <w:bookmarkEnd w:id="1"/>
    </w:p>
    <w:p w14:paraId="1E0A47F2" w14:textId="77777777" w:rsidR="00DB468A" w:rsidRPr="00383E2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383E22" w:rsidRDefault="0081532F" w:rsidP="00B13B6D">
      <w:pPr>
        <w:pStyle w:val="Style1"/>
      </w:pPr>
      <w:r w:rsidRPr="00383E22">
        <w:rPr>
          <w:highlight w:val="lightGray"/>
        </w:rPr>
        <w:t>15.</w:t>
      </w:r>
      <w:r w:rsidRPr="00383E22">
        <w:tab/>
        <w:t>Datum poslední revize příbalové informace</w:t>
      </w:r>
    </w:p>
    <w:p w14:paraId="6781F72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AC9C76" w14:textId="3EB7EC53" w:rsidR="00DB468A" w:rsidRPr="00383E22" w:rsidRDefault="00600B5D" w:rsidP="00DB468A">
      <w:pPr>
        <w:rPr>
          <w:szCs w:val="22"/>
        </w:rPr>
      </w:pPr>
      <w:r>
        <w:rPr>
          <w:szCs w:val="22"/>
        </w:rPr>
        <w:t>0</w:t>
      </w:r>
      <w:r w:rsidR="009F549F">
        <w:rPr>
          <w:szCs w:val="22"/>
        </w:rPr>
        <w:t>8</w:t>
      </w:r>
      <w:r>
        <w:rPr>
          <w:szCs w:val="22"/>
        </w:rPr>
        <w:t>/2026</w:t>
      </w:r>
    </w:p>
    <w:p w14:paraId="536A8BBE" w14:textId="77777777" w:rsidR="00DB468A" w:rsidRPr="00383E2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6B4E5234" w:rsidR="001F1C7E" w:rsidRDefault="0081532F" w:rsidP="001F1C7E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</w:rPr>
        <w:t>Podrobné informace o tomto veterinárním léčivém přípravku jsou k dispozici v databázi přípravků Unie (</w:t>
      </w:r>
      <w:hyperlink r:id="rId12" w:history="1">
        <w:r w:rsidRPr="00383E22">
          <w:rPr>
            <w:rStyle w:val="Hypertextovodkaz"/>
            <w:szCs w:val="22"/>
          </w:rPr>
          <w:t>https://medicines.health.europa.eu/veterinary</w:t>
        </w:r>
      </w:hyperlink>
      <w:r w:rsidRPr="00383E22">
        <w:rPr>
          <w:szCs w:val="22"/>
        </w:rPr>
        <w:t>).</w:t>
      </w:r>
    </w:p>
    <w:p w14:paraId="36B4771F" w14:textId="444ABF32" w:rsidR="00600B5D" w:rsidRDefault="00600B5D" w:rsidP="001F1C7E">
      <w:pPr>
        <w:tabs>
          <w:tab w:val="clear" w:pos="567"/>
        </w:tabs>
        <w:spacing w:line="240" w:lineRule="auto"/>
        <w:rPr>
          <w:szCs w:val="22"/>
        </w:rPr>
      </w:pPr>
    </w:p>
    <w:p w14:paraId="58F9A977" w14:textId="77FB5647" w:rsidR="009F549F" w:rsidRDefault="00600B5D" w:rsidP="00600B5D">
      <w:pPr>
        <w:tabs>
          <w:tab w:val="clear" w:pos="567"/>
        </w:tabs>
        <w:spacing w:line="240" w:lineRule="auto"/>
        <w:rPr>
          <w:szCs w:val="22"/>
        </w:rPr>
      </w:pPr>
      <w:r w:rsidRPr="00600B5D">
        <w:rPr>
          <w:szCs w:val="22"/>
        </w:rPr>
        <w:lastRenderedPageBreak/>
        <w:t>Podrobné informace o tomto veterinárním léčivém přípravku naleznete také v národní databázi (</w:t>
      </w:r>
      <w:hyperlink r:id="rId13" w:history="1">
        <w:r w:rsidR="009F549F" w:rsidRPr="00936EF4">
          <w:rPr>
            <w:rStyle w:val="Hypertextovodkaz"/>
            <w:szCs w:val="22"/>
          </w:rPr>
          <w:t>https://www.uskvbl.cz</w:t>
        </w:r>
      </w:hyperlink>
      <w:r w:rsidR="009F549F">
        <w:rPr>
          <w:szCs w:val="22"/>
        </w:rPr>
        <w:t>).</w:t>
      </w:r>
    </w:p>
    <w:p w14:paraId="79F8C20E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383E22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383E22" w:rsidRDefault="0081532F" w:rsidP="00B13B6D">
      <w:pPr>
        <w:pStyle w:val="Style1"/>
      </w:pPr>
      <w:r w:rsidRPr="00383E22">
        <w:rPr>
          <w:highlight w:val="lightGray"/>
        </w:rPr>
        <w:t>16.</w:t>
      </w:r>
      <w:r w:rsidRPr="00383E22">
        <w:tab/>
        <w:t>Kontaktní údaje</w:t>
      </w:r>
    </w:p>
    <w:p w14:paraId="43F06BB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2A2807E1" w:rsidR="00DB468A" w:rsidRPr="00383E22" w:rsidRDefault="0081532F" w:rsidP="00DB468A">
      <w:pPr>
        <w:rPr>
          <w:szCs w:val="22"/>
        </w:rPr>
      </w:pPr>
      <w:bookmarkStart w:id="2" w:name="_Hlk73552578"/>
      <w:r w:rsidRPr="00383E22">
        <w:rPr>
          <w:iCs/>
          <w:szCs w:val="22"/>
          <w:u w:val="single"/>
        </w:rPr>
        <w:t>D</w:t>
      </w:r>
      <w:r w:rsidR="0064249E" w:rsidRPr="00383E22">
        <w:rPr>
          <w:iCs/>
          <w:szCs w:val="22"/>
          <w:u w:val="single"/>
        </w:rPr>
        <w:t xml:space="preserve">ržitel rozhodnutí o registraci </w:t>
      </w:r>
      <w:r w:rsidRPr="00383E22">
        <w:rPr>
          <w:iCs/>
          <w:szCs w:val="22"/>
          <w:u w:val="single"/>
        </w:rPr>
        <w:t>a výrobce odpovědný za uvol</w:t>
      </w:r>
      <w:r w:rsidR="00FD642D" w:rsidRPr="00383E22">
        <w:rPr>
          <w:iCs/>
          <w:szCs w:val="22"/>
          <w:u w:val="single"/>
        </w:rPr>
        <w:t>ně</w:t>
      </w:r>
      <w:r w:rsidRPr="00383E22">
        <w:rPr>
          <w:iCs/>
          <w:szCs w:val="22"/>
          <w:u w:val="single"/>
        </w:rPr>
        <w:t>ní šarž</w:t>
      </w:r>
      <w:r w:rsidR="00FD642D" w:rsidRPr="00383E22">
        <w:rPr>
          <w:iCs/>
          <w:szCs w:val="22"/>
          <w:u w:val="single"/>
        </w:rPr>
        <w:t>e</w:t>
      </w:r>
      <w:r w:rsidR="0064249E" w:rsidRPr="00383E22">
        <w:rPr>
          <w:iCs/>
          <w:szCs w:val="22"/>
          <w:u w:val="single"/>
        </w:rPr>
        <w:t xml:space="preserve"> </w:t>
      </w:r>
      <w:r w:rsidRPr="00383E22">
        <w:rPr>
          <w:iCs/>
          <w:szCs w:val="22"/>
          <w:u w:val="single"/>
        </w:rPr>
        <w:t>a kontaktní údaje pro hlášení podezření na nežádoucí účinky</w:t>
      </w:r>
      <w:r w:rsidRPr="00383E22">
        <w:rPr>
          <w:szCs w:val="22"/>
        </w:rPr>
        <w:t>:</w:t>
      </w:r>
    </w:p>
    <w:p w14:paraId="5CC31F46" w14:textId="77777777" w:rsidR="005550E6" w:rsidRPr="00383E22" w:rsidRDefault="005550E6" w:rsidP="00DB468A">
      <w:pPr>
        <w:rPr>
          <w:iCs/>
          <w:szCs w:val="22"/>
        </w:rPr>
      </w:pPr>
    </w:p>
    <w:bookmarkEnd w:id="2"/>
    <w:p w14:paraId="7078AAF1" w14:textId="77777777" w:rsidR="0064249E" w:rsidRPr="00383E22" w:rsidRDefault="0064249E" w:rsidP="0064249E">
      <w:pPr>
        <w:rPr>
          <w:szCs w:val="22"/>
        </w:rPr>
      </w:pPr>
      <w:r w:rsidRPr="00383E22">
        <w:rPr>
          <w:szCs w:val="22"/>
        </w:rPr>
        <w:t xml:space="preserve">Chanelle Pharmaceuticals Manufacturing Ltd., </w:t>
      </w:r>
    </w:p>
    <w:p w14:paraId="6042C048" w14:textId="77777777" w:rsidR="0064249E" w:rsidRPr="00383E22" w:rsidRDefault="0064249E" w:rsidP="0064249E">
      <w:pPr>
        <w:rPr>
          <w:szCs w:val="22"/>
        </w:rPr>
      </w:pPr>
      <w:r w:rsidRPr="00383E22">
        <w:rPr>
          <w:szCs w:val="22"/>
        </w:rPr>
        <w:t xml:space="preserve">Loughrea, </w:t>
      </w:r>
    </w:p>
    <w:p w14:paraId="7BD7772C" w14:textId="77777777" w:rsidR="0064249E" w:rsidRPr="00383E22" w:rsidRDefault="0064249E" w:rsidP="0064249E">
      <w:pPr>
        <w:rPr>
          <w:szCs w:val="22"/>
        </w:rPr>
      </w:pPr>
      <w:r w:rsidRPr="00383E22">
        <w:rPr>
          <w:szCs w:val="22"/>
        </w:rPr>
        <w:t xml:space="preserve">Co. Galway, </w:t>
      </w:r>
    </w:p>
    <w:p w14:paraId="1403DE34" w14:textId="2614F388" w:rsidR="0064249E" w:rsidRDefault="005B1792" w:rsidP="0064249E">
      <w:pPr>
        <w:rPr>
          <w:szCs w:val="22"/>
        </w:rPr>
      </w:pPr>
      <w:r>
        <w:rPr>
          <w:szCs w:val="22"/>
        </w:rPr>
        <w:t>Irsko</w:t>
      </w:r>
    </w:p>
    <w:p w14:paraId="6F86E8CE" w14:textId="77777777" w:rsidR="009B52A3" w:rsidRDefault="009B52A3" w:rsidP="0064249E">
      <w:pPr>
        <w:rPr>
          <w:szCs w:val="22"/>
        </w:rPr>
      </w:pPr>
    </w:p>
    <w:p w14:paraId="6E990673" w14:textId="77777777" w:rsidR="00266BEC" w:rsidRPr="00266BEC" w:rsidRDefault="00266BEC" w:rsidP="00266BEC">
      <w:pPr>
        <w:rPr>
          <w:szCs w:val="22"/>
          <w:lang w:val="en-GB"/>
        </w:rPr>
      </w:pPr>
      <w:r w:rsidRPr="00266BEC">
        <w:rPr>
          <w:szCs w:val="22"/>
          <w:lang w:val="en-GB"/>
        </w:rPr>
        <w:t>Telephone: +353 (0)91 841788</w:t>
      </w:r>
    </w:p>
    <w:p w14:paraId="7F995333" w14:textId="77777777" w:rsidR="00266BEC" w:rsidRPr="00266BEC" w:rsidRDefault="00266BEC" w:rsidP="00266BEC">
      <w:pPr>
        <w:rPr>
          <w:szCs w:val="22"/>
          <w:lang w:val="en-GB"/>
        </w:rPr>
      </w:pPr>
      <w:hyperlink r:id="rId14" w:tgtFrame="_blank" w:tooltip="mailto:vetpharmacoviggroup@chanellegroup.ie" w:history="1">
        <w:r w:rsidRPr="00266BEC">
          <w:rPr>
            <w:rStyle w:val="Hypertextovodkaz"/>
            <w:szCs w:val="22"/>
            <w:lang w:val="en-GB"/>
          </w:rPr>
          <w:t>vetpharmacoviggroup@chanellegroup.ie</w:t>
        </w:r>
      </w:hyperlink>
    </w:p>
    <w:p w14:paraId="3FD188C0" w14:textId="77777777" w:rsidR="009B52A3" w:rsidRPr="00383E22" w:rsidRDefault="009B52A3" w:rsidP="0064249E">
      <w:pPr>
        <w:rPr>
          <w:szCs w:val="22"/>
        </w:rPr>
      </w:pPr>
    </w:p>
    <w:p w14:paraId="4BCB8728" w14:textId="77777777" w:rsidR="00DB468A" w:rsidRPr="00383E22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99BC68" w14:textId="0634FACD" w:rsidR="003841FC" w:rsidRPr="00383E22" w:rsidRDefault="0064249E" w:rsidP="0018657D">
      <w:pPr>
        <w:pStyle w:val="Style4"/>
      </w:pPr>
      <w:bookmarkStart w:id="3" w:name="_Hlk73552585"/>
      <w:r w:rsidRPr="00383E22">
        <w:rPr>
          <w:u w:val="single"/>
        </w:rPr>
        <w:t xml:space="preserve">Místní zástupci </w:t>
      </w:r>
      <w:r w:rsidR="0081532F" w:rsidRPr="00383E22">
        <w:rPr>
          <w:u w:val="single"/>
        </w:rPr>
        <w:t>a kontaktní údaje pro hlášení podezření na nežádoucí účinky</w:t>
      </w:r>
      <w:r w:rsidRPr="00383E22">
        <w:t>:</w:t>
      </w:r>
    </w:p>
    <w:bookmarkEnd w:id="3"/>
    <w:p w14:paraId="07DDC417" w14:textId="77777777" w:rsidR="003841FC" w:rsidRPr="00383E22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44D2849E" w14:textId="30C83F1D" w:rsidR="006D075E" w:rsidRPr="00383E22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0FB57D77" w:rsidR="00BB2539" w:rsidRPr="00383E22" w:rsidRDefault="0081532F" w:rsidP="00B13B6D">
      <w:pPr>
        <w:pStyle w:val="Style1"/>
      </w:pPr>
      <w:r w:rsidRPr="00383E22">
        <w:rPr>
          <w:highlight w:val="lightGray"/>
        </w:rPr>
        <w:t>17.</w:t>
      </w:r>
      <w:r w:rsidR="0064249E" w:rsidRPr="00383E22">
        <w:tab/>
        <w:t>Další informace</w:t>
      </w:r>
    </w:p>
    <w:p w14:paraId="72BBFD3F" w14:textId="30F7CD56" w:rsidR="005F346D" w:rsidRPr="00383E22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1ACFABDD" w14:textId="1E2647CC" w:rsidR="000842AA" w:rsidRPr="00383E22" w:rsidRDefault="000842AA" w:rsidP="009F549F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 xml:space="preserve">CLSI veterinární hraniční hodnoty pro klindamycin u infekce kůže a měkkých tkání psů </w:t>
      </w:r>
      <w:r w:rsidR="00600B5D">
        <w:rPr>
          <w:szCs w:val="22"/>
        </w:rPr>
        <w:t xml:space="preserve">vyvolaných </w:t>
      </w:r>
      <w:r w:rsidRPr="00383E22">
        <w:rPr>
          <w:szCs w:val="22"/>
        </w:rPr>
        <w:t xml:space="preserve">rodem </w:t>
      </w:r>
      <w:r w:rsidRPr="00383E22">
        <w:rPr>
          <w:i/>
          <w:szCs w:val="22"/>
        </w:rPr>
        <w:t>Staphylococcus</w:t>
      </w:r>
      <w:r w:rsidRPr="00383E22">
        <w:rPr>
          <w:szCs w:val="22"/>
        </w:rPr>
        <w:t xml:space="preserve"> a skupinou beta-hemolytických streptokoků: </w:t>
      </w:r>
    </w:p>
    <w:p w14:paraId="2C0106DE" w14:textId="77777777" w:rsidR="000842AA" w:rsidRPr="00383E22" w:rsidRDefault="000842AA" w:rsidP="009F549F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 xml:space="preserve">C (citlivé) ≤ 0,5 μg/ml; </w:t>
      </w:r>
    </w:p>
    <w:p w14:paraId="3E71345C" w14:textId="77777777" w:rsidR="000842AA" w:rsidRPr="00383E22" w:rsidRDefault="000842AA" w:rsidP="009F549F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 xml:space="preserve">I (intermediárně citlivé) =1-2 μg/ml; </w:t>
      </w:r>
    </w:p>
    <w:p w14:paraId="2D8D21B4" w14:textId="39D9A4B9" w:rsidR="000842AA" w:rsidRPr="00383E22" w:rsidRDefault="000842AA" w:rsidP="009F549F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>R (rezistentní) ≥ 4 μg/ml. (CLSI červenec 2013).</w:t>
      </w:r>
    </w:p>
    <w:sectPr w:rsidR="000842AA" w:rsidRPr="00383E22" w:rsidSect="003837F1">
      <w:headerReference w:type="default" r:id="rId15"/>
      <w:footerReference w:type="defaul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3B151" w14:textId="77777777" w:rsidR="009105B6" w:rsidRDefault="009105B6">
      <w:pPr>
        <w:spacing w:line="240" w:lineRule="auto"/>
      </w:pPr>
      <w:r>
        <w:separator/>
      </w:r>
    </w:p>
  </w:endnote>
  <w:endnote w:type="continuationSeparator" w:id="0">
    <w:p w14:paraId="7272715C" w14:textId="77777777" w:rsidR="009105B6" w:rsidRDefault="009105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02829788" w:rsidR="0081532F" w:rsidRPr="00E0068C" w:rsidRDefault="00815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3B0F51">
      <w:rPr>
        <w:rFonts w:ascii="Times New Roman" w:hAnsi="Times New Roman"/>
        <w:noProof/>
      </w:rPr>
      <w:t>17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81532F" w:rsidRPr="00E0068C" w:rsidRDefault="00815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804E4" w14:textId="77777777" w:rsidR="009105B6" w:rsidRDefault="009105B6">
      <w:pPr>
        <w:spacing w:line="240" w:lineRule="auto"/>
      </w:pPr>
      <w:r>
        <w:separator/>
      </w:r>
    </w:p>
  </w:footnote>
  <w:footnote w:type="continuationSeparator" w:id="0">
    <w:p w14:paraId="0A4B46E5" w14:textId="77777777" w:rsidR="009105B6" w:rsidRDefault="009105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22117" w14:textId="51986BCB" w:rsidR="00EB3055" w:rsidRDefault="00EB3055">
    <w:pPr>
      <w:pStyle w:val="Zhlav"/>
    </w:pPr>
    <w:r w:rsidRPr="00EB3055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22A3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4277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C6BE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EC00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4469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D8ED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42E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8A9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7EED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442ACD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8A670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8E8C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5AF7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4A99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B06B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742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3C6B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7835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9F366E2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E04056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082E4D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3728BE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968E6C9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791A514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75A9A0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1A07E4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70D37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E91A318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F2EA3A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89E006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A446A90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EAE62D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08E593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920216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D9A8E4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96CEE1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D9809A6"/>
    <w:multiLevelType w:val="hybridMultilevel"/>
    <w:tmpl w:val="1ABA9E76"/>
    <w:lvl w:ilvl="0" w:tplc="FC3E91E2">
      <w:start w:val="4"/>
      <w:numFmt w:val="bullet"/>
      <w:lvlText w:val="-"/>
      <w:lvlJc w:val="left"/>
      <w:pPr>
        <w:ind w:left="810" w:hanging="360"/>
      </w:pPr>
      <w:rPr>
        <w:rFonts w:ascii="Arial" w:eastAsia="MS Mincho" w:hAnsi="Arial" w:cs="Arial" w:hint="default"/>
      </w:rPr>
    </w:lvl>
    <w:lvl w:ilvl="1" w:tplc="040C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990A8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0805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0465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C8A4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C8AC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3AB5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FAE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4008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7022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23E66A0"/>
    <w:multiLevelType w:val="hybridMultilevel"/>
    <w:tmpl w:val="B91E5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54683"/>
    <w:multiLevelType w:val="hybridMultilevel"/>
    <w:tmpl w:val="0EE81776"/>
    <w:lvl w:ilvl="0" w:tplc="4D6EF6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D2E58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848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5AF2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5EA7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85E1E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0402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1217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726F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7" w15:restartNumberingAfterBreak="0">
    <w:nsid w:val="316F2A18"/>
    <w:multiLevelType w:val="hybridMultilevel"/>
    <w:tmpl w:val="0888850E"/>
    <w:lvl w:ilvl="0" w:tplc="2CE26076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6D96073"/>
    <w:multiLevelType w:val="hybridMultilevel"/>
    <w:tmpl w:val="CA663CC0"/>
    <w:lvl w:ilvl="0" w:tplc="1FF66F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88E945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5C7D9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774C14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68072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7CA674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4C497E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B18EAD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910AA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DA64B37"/>
    <w:multiLevelType w:val="hybridMultilevel"/>
    <w:tmpl w:val="6D20E0BE"/>
    <w:lvl w:ilvl="0" w:tplc="DD860A7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069C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AEF8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0E90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279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746A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0D9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FAB0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C38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25EE3"/>
    <w:multiLevelType w:val="hybridMultilevel"/>
    <w:tmpl w:val="DEF8824C"/>
    <w:lvl w:ilvl="0" w:tplc="2CE26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67373A9"/>
    <w:multiLevelType w:val="hybridMultilevel"/>
    <w:tmpl w:val="E3BA04EE"/>
    <w:lvl w:ilvl="0" w:tplc="9A7060F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3E6AFE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C4FA55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7A7D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9469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3462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CE00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542C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E82A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4" w15:restartNumberingAfterBreak="0">
    <w:nsid w:val="4DAE5508"/>
    <w:multiLevelType w:val="hybridMultilevel"/>
    <w:tmpl w:val="DA0EE772"/>
    <w:lvl w:ilvl="0" w:tplc="DA5CBEB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75823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5E49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8F2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F67C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1A99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B841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9A38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9058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B473E"/>
    <w:multiLevelType w:val="hybridMultilevel"/>
    <w:tmpl w:val="BA782D10"/>
    <w:lvl w:ilvl="0" w:tplc="B49C313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16A4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28B5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2E23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E81F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8C0E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16C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1AB8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A050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1F1D26"/>
    <w:multiLevelType w:val="hybridMultilevel"/>
    <w:tmpl w:val="2E749F0C"/>
    <w:lvl w:ilvl="0" w:tplc="5020563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3384B1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A5A7A7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BB8C53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E3EE0E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46A4CF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7365E2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11A3B0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08C435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7" w15:restartNumberingAfterBreak="0">
    <w:nsid w:val="52C80393"/>
    <w:multiLevelType w:val="hybridMultilevel"/>
    <w:tmpl w:val="7996087A"/>
    <w:lvl w:ilvl="0" w:tplc="15F0203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896FB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6ACF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D09C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DC07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12606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7A7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5261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37AD4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9" w15:restartNumberingAfterBreak="0">
    <w:nsid w:val="5A3F65D8"/>
    <w:multiLevelType w:val="multilevel"/>
    <w:tmpl w:val="A02E932A"/>
    <w:numStyleLink w:val="BulletsAgency"/>
  </w:abstractNum>
  <w:abstractNum w:abstractNumId="30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1" w15:restartNumberingAfterBreak="0">
    <w:nsid w:val="5E0C3C1E"/>
    <w:multiLevelType w:val="hybridMultilevel"/>
    <w:tmpl w:val="BCC6941C"/>
    <w:lvl w:ilvl="0" w:tplc="4F74686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D592EACC" w:tentative="1">
      <w:start w:val="1"/>
      <w:numFmt w:val="lowerLetter"/>
      <w:lvlText w:val="%2."/>
      <w:lvlJc w:val="left"/>
      <w:pPr>
        <w:ind w:left="1440" w:hanging="360"/>
      </w:pPr>
    </w:lvl>
    <w:lvl w:ilvl="2" w:tplc="162854F4" w:tentative="1">
      <w:start w:val="1"/>
      <w:numFmt w:val="lowerRoman"/>
      <w:lvlText w:val="%3."/>
      <w:lvlJc w:val="right"/>
      <w:pPr>
        <w:ind w:left="2160" w:hanging="180"/>
      </w:pPr>
    </w:lvl>
    <w:lvl w:ilvl="3" w:tplc="A612AA8C" w:tentative="1">
      <w:start w:val="1"/>
      <w:numFmt w:val="decimal"/>
      <w:lvlText w:val="%4."/>
      <w:lvlJc w:val="left"/>
      <w:pPr>
        <w:ind w:left="2880" w:hanging="360"/>
      </w:pPr>
    </w:lvl>
    <w:lvl w:ilvl="4" w:tplc="3F4E185E" w:tentative="1">
      <w:start w:val="1"/>
      <w:numFmt w:val="lowerLetter"/>
      <w:lvlText w:val="%5."/>
      <w:lvlJc w:val="left"/>
      <w:pPr>
        <w:ind w:left="3600" w:hanging="360"/>
      </w:pPr>
    </w:lvl>
    <w:lvl w:ilvl="5" w:tplc="53BA7D70" w:tentative="1">
      <w:start w:val="1"/>
      <w:numFmt w:val="lowerRoman"/>
      <w:lvlText w:val="%6."/>
      <w:lvlJc w:val="right"/>
      <w:pPr>
        <w:ind w:left="4320" w:hanging="180"/>
      </w:pPr>
    </w:lvl>
    <w:lvl w:ilvl="6" w:tplc="B302D05E" w:tentative="1">
      <w:start w:val="1"/>
      <w:numFmt w:val="decimal"/>
      <w:lvlText w:val="%7."/>
      <w:lvlJc w:val="left"/>
      <w:pPr>
        <w:ind w:left="5040" w:hanging="360"/>
      </w:pPr>
    </w:lvl>
    <w:lvl w:ilvl="7" w:tplc="3D88F358" w:tentative="1">
      <w:start w:val="1"/>
      <w:numFmt w:val="lowerLetter"/>
      <w:lvlText w:val="%8."/>
      <w:lvlJc w:val="left"/>
      <w:pPr>
        <w:ind w:left="5760" w:hanging="360"/>
      </w:pPr>
    </w:lvl>
    <w:lvl w:ilvl="8" w:tplc="0D025A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E67BF"/>
    <w:multiLevelType w:val="hybridMultilevel"/>
    <w:tmpl w:val="B1D854E2"/>
    <w:lvl w:ilvl="0" w:tplc="5804F45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9FA55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CEEF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7013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38ED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FD69D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FA93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C279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DE800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4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5" w15:restartNumberingAfterBreak="0">
    <w:nsid w:val="6A7B2E2F"/>
    <w:multiLevelType w:val="hybridMultilevel"/>
    <w:tmpl w:val="0F966314"/>
    <w:lvl w:ilvl="0" w:tplc="79BEF6F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8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FB76EB"/>
    <w:multiLevelType w:val="hybridMultilevel"/>
    <w:tmpl w:val="CC66055E"/>
    <w:lvl w:ilvl="0" w:tplc="78AE21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9E7D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EC95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92F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9832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24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CEE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1EAE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603A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087B01"/>
    <w:multiLevelType w:val="hybridMultilevel"/>
    <w:tmpl w:val="D4C290BC"/>
    <w:lvl w:ilvl="0" w:tplc="8C7CF2C0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1D88D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447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B82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5E8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4602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B20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6F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82E7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E1091A"/>
    <w:multiLevelType w:val="hybridMultilevel"/>
    <w:tmpl w:val="9D5C3D80"/>
    <w:lvl w:ilvl="0" w:tplc="A2867144">
      <w:start w:val="1"/>
      <w:numFmt w:val="decimal"/>
      <w:lvlText w:val="%1."/>
      <w:lvlJc w:val="left"/>
      <w:pPr>
        <w:ind w:left="720" w:hanging="360"/>
      </w:pPr>
    </w:lvl>
    <w:lvl w:ilvl="1" w:tplc="BE289664" w:tentative="1">
      <w:start w:val="1"/>
      <w:numFmt w:val="lowerLetter"/>
      <w:lvlText w:val="%2."/>
      <w:lvlJc w:val="left"/>
      <w:pPr>
        <w:ind w:left="1440" w:hanging="360"/>
      </w:pPr>
    </w:lvl>
    <w:lvl w:ilvl="2" w:tplc="E078EF10" w:tentative="1">
      <w:start w:val="1"/>
      <w:numFmt w:val="lowerRoman"/>
      <w:lvlText w:val="%3."/>
      <w:lvlJc w:val="right"/>
      <w:pPr>
        <w:ind w:left="2160" w:hanging="180"/>
      </w:pPr>
    </w:lvl>
    <w:lvl w:ilvl="3" w:tplc="E16435D8" w:tentative="1">
      <w:start w:val="1"/>
      <w:numFmt w:val="decimal"/>
      <w:lvlText w:val="%4."/>
      <w:lvlJc w:val="left"/>
      <w:pPr>
        <w:ind w:left="2880" w:hanging="360"/>
      </w:pPr>
    </w:lvl>
    <w:lvl w:ilvl="4" w:tplc="10A00AE2" w:tentative="1">
      <w:start w:val="1"/>
      <w:numFmt w:val="lowerLetter"/>
      <w:lvlText w:val="%5."/>
      <w:lvlJc w:val="left"/>
      <w:pPr>
        <w:ind w:left="3600" w:hanging="360"/>
      </w:pPr>
    </w:lvl>
    <w:lvl w:ilvl="5" w:tplc="CF185B98" w:tentative="1">
      <w:start w:val="1"/>
      <w:numFmt w:val="lowerRoman"/>
      <w:lvlText w:val="%6."/>
      <w:lvlJc w:val="right"/>
      <w:pPr>
        <w:ind w:left="4320" w:hanging="180"/>
      </w:pPr>
    </w:lvl>
    <w:lvl w:ilvl="6" w:tplc="5E94AE52" w:tentative="1">
      <w:start w:val="1"/>
      <w:numFmt w:val="decimal"/>
      <w:lvlText w:val="%7."/>
      <w:lvlJc w:val="left"/>
      <w:pPr>
        <w:ind w:left="5040" w:hanging="360"/>
      </w:pPr>
    </w:lvl>
    <w:lvl w:ilvl="7" w:tplc="05887802" w:tentative="1">
      <w:start w:val="1"/>
      <w:numFmt w:val="lowerLetter"/>
      <w:lvlText w:val="%8."/>
      <w:lvlJc w:val="left"/>
      <w:pPr>
        <w:ind w:left="5760" w:hanging="360"/>
      </w:pPr>
    </w:lvl>
    <w:lvl w:ilvl="8" w:tplc="8B6E9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A5987"/>
    <w:multiLevelType w:val="hybridMultilevel"/>
    <w:tmpl w:val="D73EEE10"/>
    <w:lvl w:ilvl="0" w:tplc="9CE6970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F0B4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2EED8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5024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E098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F09C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8408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A457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CC00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8"/>
  </w:num>
  <w:num w:numId="4">
    <w:abstractNumId w:val="37"/>
  </w:num>
  <w:num w:numId="5">
    <w:abstractNumId w:val="15"/>
  </w:num>
  <w:num w:numId="6">
    <w:abstractNumId w:val="28"/>
  </w:num>
  <w:num w:numId="7">
    <w:abstractNumId w:val="23"/>
  </w:num>
  <w:num w:numId="8">
    <w:abstractNumId w:val="10"/>
  </w:num>
  <w:num w:numId="9">
    <w:abstractNumId w:val="34"/>
  </w:num>
  <w:num w:numId="10">
    <w:abstractNumId w:val="36"/>
  </w:num>
  <w:num w:numId="11">
    <w:abstractNumId w:val="18"/>
  </w:num>
  <w:num w:numId="12">
    <w:abstractNumId w:val="16"/>
  </w:num>
  <w:num w:numId="13">
    <w:abstractNumId w:val="3"/>
  </w:num>
  <w:num w:numId="14">
    <w:abstractNumId w:val="33"/>
  </w:num>
  <w:num w:numId="15">
    <w:abstractNumId w:val="22"/>
  </w:num>
  <w:num w:numId="16">
    <w:abstractNumId w:val="39"/>
  </w:num>
  <w:num w:numId="17">
    <w:abstractNumId w:val="11"/>
  </w:num>
  <w:num w:numId="18">
    <w:abstractNumId w:val="1"/>
  </w:num>
  <w:num w:numId="19">
    <w:abstractNumId w:val="19"/>
  </w:num>
  <w:num w:numId="20">
    <w:abstractNumId w:val="4"/>
  </w:num>
  <w:num w:numId="21">
    <w:abstractNumId w:val="8"/>
  </w:num>
  <w:num w:numId="22">
    <w:abstractNumId w:val="30"/>
  </w:num>
  <w:num w:numId="23">
    <w:abstractNumId w:val="40"/>
  </w:num>
  <w:num w:numId="24">
    <w:abstractNumId w:val="25"/>
  </w:num>
  <w:num w:numId="25">
    <w:abstractNumId w:val="12"/>
  </w:num>
  <w:num w:numId="26">
    <w:abstractNumId w:val="14"/>
  </w:num>
  <w:num w:numId="27">
    <w:abstractNumId w:val="6"/>
  </w:num>
  <w:num w:numId="28">
    <w:abstractNumId w:val="7"/>
  </w:num>
  <w:num w:numId="29">
    <w:abstractNumId w:val="26"/>
  </w:num>
  <w:num w:numId="30">
    <w:abstractNumId w:val="42"/>
  </w:num>
  <w:num w:numId="31">
    <w:abstractNumId w:val="43"/>
  </w:num>
  <w:num w:numId="32">
    <w:abstractNumId w:val="24"/>
  </w:num>
  <w:num w:numId="33">
    <w:abstractNumId w:val="32"/>
  </w:num>
  <w:num w:numId="34">
    <w:abstractNumId w:val="27"/>
  </w:num>
  <w:num w:numId="35">
    <w:abstractNumId w:val="2"/>
  </w:num>
  <w:num w:numId="36">
    <w:abstractNumId w:val="5"/>
  </w:num>
  <w:num w:numId="37">
    <w:abstractNumId w:val="29"/>
  </w:num>
  <w:num w:numId="38">
    <w:abstractNumId w:val="20"/>
  </w:num>
  <w:num w:numId="39">
    <w:abstractNumId w:val="41"/>
  </w:num>
  <w:num w:numId="40">
    <w:abstractNumId w:val="31"/>
  </w:num>
  <w:num w:numId="41">
    <w:abstractNumId w:val="35"/>
  </w:num>
  <w:num w:numId="42">
    <w:abstractNumId w:val="9"/>
  </w:num>
  <w:num w:numId="43">
    <w:abstractNumId w:val="17"/>
  </w:num>
  <w:num w:numId="44">
    <w:abstractNumId w:val="13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5194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42AA"/>
    <w:rsid w:val="000860CE"/>
    <w:rsid w:val="00092A37"/>
    <w:rsid w:val="000938A6"/>
    <w:rsid w:val="00096E78"/>
    <w:rsid w:val="00097C1E"/>
    <w:rsid w:val="000A1DF5"/>
    <w:rsid w:val="000B3589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45D1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6FC8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092F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11E0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D13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66BEC"/>
    <w:rsid w:val="0027270B"/>
    <w:rsid w:val="00272952"/>
    <w:rsid w:val="00272B36"/>
    <w:rsid w:val="00274B6F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67C1"/>
    <w:rsid w:val="002A710D"/>
    <w:rsid w:val="002B0F11"/>
    <w:rsid w:val="002B2E17"/>
    <w:rsid w:val="002B572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01B7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3E22"/>
    <w:rsid w:val="003841FC"/>
    <w:rsid w:val="00385A69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0F51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5395"/>
    <w:rsid w:val="00427054"/>
    <w:rsid w:val="004278DC"/>
    <w:rsid w:val="004304B1"/>
    <w:rsid w:val="0043147D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1750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460E"/>
    <w:rsid w:val="004A61E1"/>
    <w:rsid w:val="004A62ED"/>
    <w:rsid w:val="004B1A75"/>
    <w:rsid w:val="004B2344"/>
    <w:rsid w:val="004B29F7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0E6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0E"/>
    <w:rsid w:val="005B04A8"/>
    <w:rsid w:val="005B1792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0B5D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173D"/>
    <w:rsid w:val="0064249E"/>
    <w:rsid w:val="006425C0"/>
    <w:rsid w:val="006432F2"/>
    <w:rsid w:val="0065320F"/>
    <w:rsid w:val="00653D64"/>
    <w:rsid w:val="00654E13"/>
    <w:rsid w:val="00667489"/>
    <w:rsid w:val="00667A57"/>
    <w:rsid w:val="00670D44"/>
    <w:rsid w:val="00673F4C"/>
    <w:rsid w:val="00675E3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A7329"/>
    <w:rsid w:val="006B0C0F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6FDB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0503"/>
    <w:rsid w:val="007616B4"/>
    <w:rsid w:val="00765316"/>
    <w:rsid w:val="007708C8"/>
    <w:rsid w:val="00771088"/>
    <w:rsid w:val="0077719D"/>
    <w:rsid w:val="00780DF0"/>
    <w:rsid w:val="007810B7"/>
    <w:rsid w:val="00782F0F"/>
    <w:rsid w:val="0078538F"/>
    <w:rsid w:val="00787482"/>
    <w:rsid w:val="00792A66"/>
    <w:rsid w:val="007951ED"/>
    <w:rsid w:val="007974D1"/>
    <w:rsid w:val="007A286D"/>
    <w:rsid w:val="007A314D"/>
    <w:rsid w:val="007A38DF"/>
    <w:rsid w:val="007B00E5"/>
    <w:rsid w:val="007B20CF"/>
    <w:rsid w:val="007B2499"/>
    <w:rsid w:val="007B65DC"/>
    <w:rsid w:val="007B72E1"/>
    <w:rsid w:val="007B783A"/>
    <w:rsid w:val="007C1B95"/>
    <w:rsid w:val="007C3DF3"/>
    <w:rsid w:val="007C5B1C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13CA"/>
    <w:rsid w:val="0080514E"/>
    <w:rsid w:val="008066AD"/>
    <w:rsid w:val="00812CD8"/>
    <w:rsid w:val="008145D9"/>
    <w:rsid w:val="00814AF1"/>
    <w:rsid w:val="0081517F"/>
    <w:rsid w:val="0081532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16F9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1F8C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05B6"/>
    <w:rsid w:val="00913885"/>
    <w:rsid w:val="00915ABF"/>
    <w:rsid w:val="00921CAD"/>
    <w:rsid w:val="009311ED"/>
    <w:rsid w:val="00931D41"/>
    <w:rsid w:val="00932165"/>
    <w:rsid w:val="00933D18"/>
    <w:rsid w:val="009349D7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273A"/>
    <w:rsid w:val="009841DD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52A3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49F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1B2A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127A"/>
    <w:rsid w:val="00BC2E39"/>
    <w:rsid w:val="00BD090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4FD8"/>
    <w:rsid w:val="00C171A1"/>
    <w:rsid w:val="00C171A4"/>
    <w:rsid w:val="00C17F12"/>
    <w:rsid w:val="00C20734"/>
    <w:rsid w:val="00C21C1A"/>
    <w:rsid w:val="00C237E9"/>
    <w:rsid w:val="00C32240"/>
    <w:rsid w:val="00C32989"/>
    <w:rsid w:val="00C32BD1"/>
    <w:rsid w:val="00C341E6"/>
    <w:rsid w:val="00C34260"/>
    <w:rsid w:val="00C36883"/>
    <w:rsid w:val="00C40928"/>
    <w:rsid w:val="00C40CFF"/>
    <w:rsid w:val="00C412D1"/>
    <w:rsid w:val="00C42697"/>
    <w:rsid w:val="00C43F01"/>
    <w:rsid w:val="00C4587E"/>
    <w:rsid w:val="00C47552"/>
    <w:rsid w:val="00C528FE"/>
    <w:rsid w:val="00C56F31"/>
    <w:rsid w:val="00C57A81"/>
    <w:rsid w:val="00C60193"/>
    <w:rsid w:val="00C634D4"/>
    <w:rsid w:val="00C63AA5"/>
    <w:rsid w:val="00C65071"/>
    <w:rsid w:val="00C65169"/>
    <w:rsid w:val="00C65385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C784E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768AA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3696"/>
    <w:rsid w:val="00DF4CE9"/>
    <w:rsid w:val="00DF4F68"/>
    <w:rsid w:val="00DF77CF"/>
    <w:rsid w:val="00E0068C"/>
    <w:rsid w:val="00E026E8"/>
    <w:rsid w:val="00E04CDF"/>
    <w:rsid w:val="00E060F7"/>
    <w:rsid w:val="00E117F9"/>
    <w:rsid w:val="00E124D3"/>
    <w:rsid w:val="00E1267F"/>
    <w:rsid w:val="00E14C47"/>
    <w:rsid w:val="00E22698"/>
    <w:rsid w:val="00E25B7C"/>
    <w:rsid w:val="00E3076B"/>
    <w:rsid w:val="00E32EF8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0761"/>
    <w:rsid w:val="00EA60C5"/>
    <w:rsid w:val="00EB0E20"/>
    <w:rsid w:val="00EB1682"/>
    <w:rsid w:val="00EB1A80"/>
    <w:rsid w:val="00EB3055"/>
    <w:rsid w:val="00EB3D68"/>
    <w:rsid w:val="00EB457B"/>
    <w:rsid w:val="00EB6C8D"/>
    <w:rsid w:val="00EC27E1"/>
    <w:rsid w:val="00EC3E4B"/>
    <w:rsid w:val="00EC47C4"/>
    <w:rsid w:val="00EC4F3A"/>
    <w:rsid w:val="00EC5045"/>
    <w:rsid w:val="00EC5E74"/>
    <w:rsid w:val="00ED55BA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1CB1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0B2D"/>
    <w:rsid w:val="00FC303C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5F51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F8B46"/>
  <w15:docId w15:val="{ED6A0F45-8D5D-4F33-B5A4-E1A7660B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34"/>
    <w:qFormat/>
    <w:rsid w:val="00BD0909"/>
    <w:pPr>
      <w:tabs>
        <w:tab w:val="clear" w:pos="567"/>
      </w:tabs>
      <w:spacing w:line="240" w:lineRule="auto"/>
      <w:ind w:left="720"/>
    </w:pPr>
    <w:rPr>
      <w:sz w:val="24"/>
      <w:szCs w:val="24"/>
      <w:lang w:eastAsia="cs-CZ" w:bidi="cs-CZ"/>
    </w:rPr>
  </w:style>
  <w:style w:type="character" w:styleId="Nevyeenzmnka">
    <w:name w:val="Unresolved Mention"/>
    <w:basedOn w:val="Standardnpsmoodstavce"/>
    <w:uiPriority w:val="99"/>
    <w:semiHidden/>
    <w:unhideWhenUsed/>
    <w:rsid w:val="009B5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skvbl.c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dicines.health.europa.eu/veterinary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skvbl.cz/cs/farmakovigilanc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adr@uskvbl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vetpharmacoviggroup@chanellegroup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FDCC2-BA76-43E7-B979-8D1A1F312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1343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 Hamad</dc:creator>
  <cp:lastModifiedBy>Neugebauerová Kateřina</cp:lastModifiedBy>
  <cp:revision>18</cp:revision>
  <cp:lastPrinted>2026-08-27T09:02:00Z</cp:lastPrinted>
  <dcterms:created xsi:type="dcterms:W3CDTF">2026-06-22T07:59:00Z</dcterms:created>
  <dcterms:modified xsi:type="dcterms:W3CDTF">2026-08-27T09:02:00Z</dcterms:modified>
</cp:coreProperties>
</file>