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0E232" w14:textId="30FF0624" w:rsidR="00884A2C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29B637A" w14:textId="5E441556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4F37229" w14:textId="3A6F7AA4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1C0C735" w14:textId="3BA73018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7ECDB84" w14:textId="74AE25C6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7EC206D" w14:textId="18A4ED69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A3499A2" w14:textId="1EF69014" w:rsidR="00791EFE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40219E4" w14:textId="77777777" w:rsidR="00791EFE" w:rsidRPr="00A240E6" w:rsidRDefault="00791EF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46E8537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CA80677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CFF2573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0108573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F100101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0753981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869DD7B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F1CA2DE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7772AF7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8E6232E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D363FFE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BF5DA36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91B3571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A32E3B9" w14:textId="0E1D0957" w:rsidR="00884A2C" w:rsidRPr="00A240E6" w:rsidRDefault="000D3C01" w:rsidP="00A240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B. PŘÍBALOVÁ INFORMACE</w:t>
      </w:r>
    </w:p>
    <w:p w14:paraId="0AFC10D8" w14:textId="77777777" w:rsidR="00884A2C" w:rsidRPr="00A240E6" w:rsidRDefault="00884A2C" w:rsidP="00A240E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br w:type="page"/>
      </w:r>
      <w:bookmarkStart w:id="0" w:name="_GoBack"/>
      <w:bookmarkEnd w:id="0"/>
    </w:p>
    <w:p w14:paraId="0B3F1533" w14:textId="77777777" w:rsidR="000D3C01" w:rsidRPr="00A240E6" w:rsidRDefault="000D3C01" w:rsidP="00A240E6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2D56F2AB" w14:textId="77777777" w:rsidR="000D3C01" w:rsidRPr="00A240E6" w:rsidRDefault="000D3C01" w:rsidP="00A240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PŘÍBALOVÁ INFORMACE</w:t>
      </w:r>
    </w:p>
    <w:p w14:paraId="56162CD2" w14:textId="77777777" w:rsidR="00884A2C" w:rsidRPr="00A240E6" w:rsidRDefault="00884A2C" w:rsidP="00A240E6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7BA86861" w14:textId="64D4CE8D" w:rsidR="000D3C01" w:rsidRPr="00791EFE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1.</w:t>
      </w:r>
      <w:r w:rsidR="00361C89" w:rsidRPr="00791EFE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Název veterinárního léčivého přípravku</w:t>
      </w:r>
    </w:p>
    <w:p w14:paraId="7C4AE560" w14:textId="77777777" w:rsidR="00A240E6" w:rsidRPr="001A6A92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06B93E6A" w14:textId="3633A99B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proofErr w:type="spellStart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Optivar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500</w:t>
      </w:r>
      <w:r w:rsidR="00814C19"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 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mg</w:t>
      </w:r>
      <w:r w:rsidR="00E81D7B"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,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proužky do úlu pro včely medonosné</w:t>
      </w:r>
    </w:p>
    <w:p w14:paraId="5BCE4789" w14:textId="77777777" w:rsidR="00884A2C" w:rsidRPr="001A6A92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0B9C0EA6" w14:textId="5304D15C" w:rsidR="000D3C01" w:rsidRPr="00791EFE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2.</w:t>
      </w:r>
      <w:r w:rsidR="00361C89" w:rsidRPr="00791EFE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Složení</w:t>
      </w:r>
    </w:p>
    <w:p w14:paraId="412C19AB" w14:textId="77777777" w:rsidR="00A240E6" w:rsidRPr="001A6A92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7CEABB3C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Každý proužek obsahuje:</w:t>
      </w:r>
    </w:p>
    <w:p w14:paraId="541DF132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Léčivá látka:</w:t>
      </w:r>
    </w:p>
    <w:p w14:paraId="1BBAE382" w14:textId="7DD43868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proofErr w:type="spellStart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Amitraz</w:t>
      </w:r>
      <w:r w:rsidR="00952617" w:rsidRPr="00791EFE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um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500</w:t>
      </w:r>
      <w:r w:rsidR="00814C19"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 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mg</w:t>
      </w:r>
    </w:p>
    <w:p w14:paraId="6BB6AB9F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Obdélníkové neprůhledné proužky do úlu bílé až béžové barvy.</w:t>
      </w:r>
    </w:p>
    <w:p w14:paraId="59E2D1D8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Proužky jsou spojeny po dvojicích perforovanou linií a jsou opatřeny otvory a vestavěným závěsným systémem pro snadné zavěšení.</w:t>
      </w:r>
    </w:p>
    <w:p w14:paraId="46722728" w14:textId="77777777" w:rsidR="00884A2C" w:rsidRPr="001A6A92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6D9938A3" w14:textId="7AE0A3F7" w:rsidR="000D3C01" w:rsidRPr="00791EFE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3.</w:t>
      </w:r>
      <w:r w:rsidR="00361C89" w:rsidRPr="00791EFE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Cílové druhy zvířat</w:t>
      </w:r>
    </w:p>
    <w:p w14:paraId="0F6CE296" w14:textId="77777777" w:rsidR="00A240E6" w:rsidRPr="001A6A92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2A1EB802" w14:textId="55FB11CC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Včel</w:t>
      </w:r>
      <w:r w:rsidR="00032F92" w:rsidRPr="00791EFE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y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medonosn</w:t>
      </w:r>
      <w:r w:rsidR="00032F92" w:rsidRPr="00791EFE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é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(</w:t>
      </w:r>
      <w:proofErr w:type="spellStart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>Apis</w:t>
      </w:r>
      <w:proofErr w:type="spellEnd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 xml:space="preserve"> </w:t>
      </w:r>
      <w:proofErr w:type="spellStart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>mellifera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)</w:t>
      </w:r>
    </w:p>
    <w:p w14:paraId="6EF5E815" w14:textId="77777777" w:rsidR="00884A2C" w:rsidRPr="001A6A92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7785E2B0" w14:textId="1BE6AA1C" w:rsidR="000D3C01" w:rsidRPr="00791EFE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4.</w:t>
      </w:r>
      <w:r w:rsidR="00361C89" w:rsidRPr="00791EFE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1A6A92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Indikace pro použití</w:t>
      </w:r>
    </w:p>
    <w:p w14:paraId="4CB12A42" w14:textId="77777777" w:rsidR="00A240E6" w:rsidRPr="001A6A92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66568274" w14:textId="7B18B655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Léčba </w:t>
      </w:r>
      <w:proofErr w:type="spellStart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varro</w:t>
      </w:r>
      <w:r w:rsidR="007E663E" w:rsidRPr="00791EFE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á</w:t>
      </w: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zy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způsobené roztočem </w:t>
      </w:r>
      <w:proofErr w:type="spellStart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>Varroa</w:t>
      </w:r>
      <w:proofErr w:type="spellEnd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 xml:space="preserve"> </w:t>
      </w:r>
      <w:proofErr w:type="spellStart"/>
      <w:r w:rsidRPr="001A6A92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cs-CZ"/>
        </w:rPr>
        <w:t>destructor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citlivým na </w:t>
      </w:r>
      <w:proofErr w:type="spellStart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amitraz</w:t>
      </w:r>
      <w:proofErr w:type="spellEnd"/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.</w:t>
      </w:r>
    </w:p>
    <w:p w14:paraId="17D8023B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FD79A8C" w14:textId="7E17C3A0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5.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Kontraindikace</w:t>
      </w:r>
    </w:p>
    <w:p w14:paraId="2AF4EDF9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D50B0BF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Nejsou.</w:t>
      </w:r>
    </w:p>
    <w:p w14:paraId="00C8BFD8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B995898" w14:textId="70B8CEED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6.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upozornění</w:t>
      </w:r>
    </w:p>
    <w:p w14:paraId="49B8A720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4E88475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upozornění:</w:t>
      </w:r>
    </w:p>
    <w:p w14:paraId="372E29B0" w14:textId="6A4E3596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Všechna včelstva ve stejné včel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nici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by měla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být ošetřena současně, aby se zabránilo opětovnému napadení.</w:t>
      </w:r>
    </w:p>
    <w:p w14:paraId="01020CB9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Proužky znovu nepoužívejte.</w:t>
      </w:r>
    </w:p>
    <w:p w14:paraId="46AEC922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Nevhodné použití veterinárního léčivého přípravku by mohlo vést ke zvýšenému riziku vzniku rezistence a v konečném důsledku k neúčinné léčbě.</w:t>
      </w:r>
    </w:p>
    <w:p w14:paraId="3A66F279" w14:textId="556AAE6E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Včelstva mají být pravidelně monitorována z hlediska úrovně napadení roztočem </w:t>
      </w:r>
      <w:proofErr w:type="spellStart"/>
      <w:r w:rsidR="00032F92">
        <w:rPr>
          <w:rFonts w:ascii="Times New Roman" w:hAnsi="Times New Roman" w:cs="Times New Roman"/>
          <w:i/>
          <w:sz w:val="22"/>
          <w:szCs w:val="22"/>
          <w:lang w:val="cs-CZ"/>
        </w:rPr>
        <w:t>Varroa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>, zejména před léčbou a po určitou dobu po ní.</w:t>
      </w:r>
    </w:p>
    <w:p w14:paraId="1A70D816" w14:textId="4AF9942C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Účinnost 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přípravku není přímo ovlivněna vnější teplotou, může však být ovlivněna aktivitou včel. Viz bod „Dávkování pro každý druh, cesty a způsob podání“.</w:t>
      </w:r>
    </w:p>
    <w:p w14:paraId="761E8C72" w14:textId="380740C8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Veterinární léčivý přípravek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by měl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být používán jako součást integrovaného programu kontroly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varro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zy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měla by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být uplatňována rotace léčby s použitím veterinárních léčivých přípravků obsahujících různé léčivé látky z různých chemických 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skupin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0CFEE40F" w14:textId="6C278B2E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U některých populací roztoče </w:t>
      </w:r>
      <w:proofErr w:type="spellStart"/>
      <w:r w:rsidR="00032F92">
        <w:rPr>
          <w:rFonts w:ascii="Times New Roman" w:hAnsi="Times New Roman" w:cs="Times New Roman"/>
          <w:i/>
          <w:sz w:val="22"/>
          <w:szCs w:val="22"/>
          <w:lang w:val="cs-CZ"/>
        </w:rPr>
        <w:t>V</w:t>
      </w:r>
      <w:r w:rsidRPr="00791EFE">
        <w:rPr>
          <w:rFonts w:ascii="Times New Roman" w:hAnsi="Times New Roman" w:cs="Times New Roman"/>
          <w:i/>
          <w:sz w:val="22"/>
          <w:szCs w:val="22"/>
          <w:lang w:val="cs-CZ"/>
        </w:rPr>
        <w:t>arroa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byla hlášena rezistence k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297FC3A1" w14:textId="441341D2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 oblastech s podezřením na rezistenci k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se doporučuje, aby použití veterinárního léčivého přípravku bylo založeno na výsledcích testování citlivosti, a doporučuje se vyžádat si radu veterinárního lékaře nebo místního včelařského inspektora.</w:t>
      </w:r>
    </w:p>
    <w:p w14:paraId="5C855FD3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580C976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opatření pro bezpečné použití u cílových druhů zvířat:</w:t>
      </w:r>
    </w:p>
    <w:p w14:paraId="58BD82C4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Nepřekračujte ani nesnižujte doporučenou dávku a doporučenou dobu použití.</w:t>
      </w:r>
    </w:p>
    <w:p w14:paraId="794E7D4E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Na konci léčby proužky odstraňte.</w:t>
      </w:r>
    </w:p>
    <w:p w14:paraId="532A0CF3" w14:textId="32D22638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Bezpečnostní profil 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přípravku nebyl stanoven u slabých včelstev, tj. u včelstev obsahujících nižší počet včel, než je pro dané roční období očekáváno.</w:t>
      </w:r>
    </w:p>
    <w:p w14:paraId="133F27F0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F3FAA9C" w14:textId="77777777" w:rsidR="000D3C01" w:rsidRPr="00A240E6" w:rsidRDefault="000D3C01" w:rsidP="00A240E6">
      <w:pPr>
        <w:keepNext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lastRenderedPageBreak/>
        <w:t>Zvláštní opatření pro osobu, která podává veterinární léčivý přípravek zvířatům:</w:t>
      </w:r>
    </w:p>
    <w:p w14:paraId="1880DE78" w14:textId="31D0F486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Tento veterinární léčivý přípravek obsahuje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, který může u lidí vyvolat </w:t>
      </w:r>
      <w:r w:rsidR="004A00C7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nežádoucí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neurologické účinky.</w:t>
      </w:r>
    </w:p>
    <w:p w14:paraId="22E35320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je inhibitor monoaminooxidázy. Proto dbejte zvláštní opatrnosti, pokud užíváte inhibitory monoaminooxidázy, hypotenzní léčbu nebo pokud máte cukrovku.</w:t>
      </w:r>
    </w:p>
    <w:p w14:paraId="05F8A894" w14:textId="1BBD3DD9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Při </w:t>
      </w:r>
      <w:r w:rsidR="004A00C7">
        <w:rPr>
          <w:rFonts w:ascii="Times New Roman" w:hAnsi="Times New Roman" w:cs="Times New Roman"/>
          <w:sz w:val="22"/>
          <w:szCs w:val="22"/>
          <w:lang w:val="cs-CZ"/>
        </w:rPr>
        <w:t>nakládání</w:t>
      </w:r>
      <w:r w:rsidR="004A00C7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s veterinárním léčivým přípravkem </w:t>
      </w:r>
      <w:r w:rsidR="004A00C7">
        <w:rPr>
          <w:rFonts w:ascii="Times New Roman" w:hAnsi="Times New Roman" w:cs="Times New Roman"/>
          <w:sz w:val="22"/>
          <w:szCs w:val="22"/>
          <w:lang w:val="cs-CZ"/>
        </w:rPr>
        <w:t xml:space="preserve">by se měly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použív</w:t>
      </w:r>
      <w:r w:rsidR="004A00C7">
        <w:rPr>
          <w:rFonts w:ascii="Times New Roman" w:hAnsi="Times New Roman" w:cs="Times New Roman"/>
          <w:sz w:val="22"/>
          <w:szCs w:val="22"/>
          <w:lang w:val="cs-CZ"/>
        </w:rPr>
        <w:t>at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osobní ochranné prostředky skládající se z nepropustných rukavic a běžného </w:t>
      </w:r>
      <w:r w:rsidR="00E81D7B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včelařského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ochranného oděvu.</w:t>
      </w:r>
    </w:p>
    <w:p w14:paraId="2F67E0DA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Zabraňte kontaktu s kůží. V případě kontaktu důkladně omyjte mýdlem a vodou.</w:t>
      </w:r>
    </w:p>
    <w:p w14:paraId="3F29CFAE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Zabraňte kontaktu s očima. V případě kontaktu ihned vypláchněte velkým množstvím vody.</w:t>
      </w:r>
    </w:p>
    <w:p w14:paraId="421120CD" w14:textId="4F379584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Pokud dojde k podráždění, vyhledejte ihned lékařskou pomoc a ukažte příbalovou informaci nebo etiketu </w:t>
      </w:r>
      <w:r w:rsidR="00E81D7B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praktickému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lékaři.</w:t>
      </w:r>
    </w:p>
    <w:p w14:paraId="2624231A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Během používání veterinárního léčivého přípravku nejezte, nepijte a nekuřte.</w:t>
      </w:r>
    </w:p>
    <w:p w14:paraId="536372FD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 použití si důkladně umyjte ruce.</w:t>
      </w:r>
    </w:p>
    <w:p w14:paraId="293F25E2" w14:textId="45FA6235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Během </w:t>
      </w:r>
      <w:r w:rsidR="004A00C7">
        <w:rPr>
          <w:rFonts w:ascii="Times New Roman" w:hAnsi="Times New Roman" w:cs="Times New Roman"/>
          <w:sz w:val="22"/>
          <w:szCs w:val="22"/>
          <w:lang w:val="cs-CZ"/>
        </w:rPr>
        <w:t>podávání</w:t>
      </w:r>
      <w:r w:rsidR="004A00C7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udržujte děti v dostatečné vzdálenosti.</w:t>
      </w:r>
    </w:p>
    <w:p w14:paraId="769D1E00" w14:textId="33AD411B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 případě náhodného požití vyhledejte ihned lékařskou pomoc a ukažte příbalovou informaci nebo etiketu </w:t>
      </w:r>
      <w:r w:rsidR="00E81D7B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praktickému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lékaři.</w:t>
      </w:r>
    </w:p>
    <w:p w14:paraId="18A77A2F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494CA1C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opatření pro ochranu životního prostředí:</w:t>
      </w:r>
    </w:p>
    <w:p w14:paraId="5B1A3B0F" w14:textId="5FC79C93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Zabraňte vniknutí do vodních toků</w:t>
      </w:r>
      <w:r w:rsidR="005A3100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včetně zbytkov</w:t>
      </w:r>
      <w:r w:rsidR="005A3100">
        <w:rPr>
          <w:rFonts w:ascii="Times New Roman" w:hAnsi="Times New Roman" w:cs="Times New Roman"/>
          <w:sz w:val="22"/>
          <w:szCs w:val="22"/>
          <w:lang w:val="cs-CZ"/>
        </w:rPr>
        <w:t>ých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a odpadní</w:t>
      </w:r>
      <w:r w:rsidR="005A3100">
        <w:rPr>
          <w:rFonts w:ascii="Times New Roman" w:hAnsi="Times New Roman" w:cs="Times New Roman"/>
          <w:sz w:val="22"/>
          <w:szCs w:val="22"/>
          <w:lang w:val="cs-CZ"/>
        </w:rPr>
        <w:t>ch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vod, protože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může být nebezpečný pro ryby a vodní organismy.</w:t>
      </w:r>
    </w:p>
    <w:p w14:paraId="6793F190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85892B5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Interakce s jinými léčivými přípravky a další formy interakce:</w:t>
      </w:r>
    </w:p>
    <w:p w14:paraId="1900DE95" w14:textId="07CEA1A0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Toxicita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se zvyšuje v přítomnosti solí mědi a terapeutická aktivita se snižuje v přítomnosti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piperonylbutoxidu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. Souběžnému použití těchto látek s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amitrazem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je třeba se vyhnout.</w:t>
      </w:r>
    </w:p>
    <w:p w14:paraId="5167AFC7" w14:textId="1D1B3205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má antagonistickou interakci s kyselinou šťavelovou v důsledku hydrolytického rozkladu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za kyselých podmínek a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předléčení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amitrazem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zvýšilo toxicitu tau-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fluvalinátu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5krát.</w:t>
      </w:r>
    </w:p>
    <w:p w14:paraId="11CF413C" w14:textId="31A711EE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Nepoužívejte současně žádný jiný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antiparazitární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přípravek.</w:t>
      </w:r>
    </w:p>
    <w:p w14:paraId="7167B186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7064967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Předávkování:</w:t>
      </w:r>
    </w:p>
    <w:p w14:paraId="273ACD82" w14:textId="2EBDA4F7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o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podání dvojnásobku doporučené dávky nebyly pozorovány žádné nežádoucí účinky.</w:t>
      </w:r>
    </w:p>
    <w:p w14:paraId="026AD915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5EACCF2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highlight w:val="lightGray"/>
          <w:u w:val="single"/>
          <w:lang w:val="cs-CZ"/>
        </w:rPr>
        <w:t>Zvláštní omezení použití a zvláštní podmínky pro použití:</w:t>
      </w:r>
    </w:p>
    <w:p w14:paraId="7BB4DC3E" w14:textId="5816AA95" w:rsidR="00884A2C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789AF98F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6BC515C9" w14:textId="3C6E64AF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7.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Nežádoucí účinky</w:t>
      </w:r>
    </w:p>
    <w:p w14:paraId="735478F7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2E1B0DE" w14:textId="3B493B20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Včely medonosné:</w:t>
      </w:r>
    </w:p>
    <w:p w14:paraId="036E05C8" w14:textId="77777777" w:rsidR="006F04C6" w:rsidRPr="00A240E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6"/>
        <w:gridCol w:w="4414"/>
      </w:tblGrid>
      <w:tr w:rsidR="000D3C01" w:rsidRPr="00A240E6" w14:paraId="05D7CE4C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AD70B" w14:textId="77777777" w:rsidR="000D3C01" w:rsidRPr="00A240E6" w:rsidRDefault="000D3C01" w:rsidP="00A24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Velmi vzácné</w:t>
            </w:r>
          </w:p>
          <w:p w14:paraId="0D1BDA40" w14:textId="77777777" w:rsidR="00884A2C" w:rsidRPr="00A240E6" w:rsidRDefault="000D3C01" w:rsidP="00A24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(&lt;1 zvíře / 10 000 léčených zvířat, </w:t>
            </w:r>
          </w:p>
          <w:p w14:paraId="7D2882C8" w14:textId="647239AF" w:rsidR="000D3C01" w:rsidRPr="00A240E6" w:rsidRDefault="000D3C01" w:rsidP="00A24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včetně ojedinělých hlášení)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E35EF" w14:textId="77777777" w:rsidR="000D3C01" w:rsidRPr="00A240E6" w:rsidRDefault="000D3C01" w:rsidP="00A24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Porucha chování*</w:t>
            </w:r>
          </w:p>
        </w:tc>
      </w:tr>
    </w:tbl>
    <w:p w14:paraId="763E66BC" w14:textId="77777777" w:rsidR="006F04C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311DD20" w14:textId="52F8322E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*Při prvním vložení proužků do úlu může být pozorována přechodná změna chování (např. úniková reakce, agresivní chování). Předpokládá se, že jde spíše o obranné chování než o nežádoucí reakci na veterinární léčivý přípravek jako takový.</w:t>
      </w:r>
    </w:p>
    <w:p w14:paraId="16AA0088" w14:textId="77777777" w:rsidR="006F04C6" w:rsidRPr="00A240E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F5CF236" w14:textId="6CC82F3D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</w:t>
      </w:r>
      <w:r w:rsidR="006F04C6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nebo místnímu zástupci držitele rozhodnutí o registraci s využitím kontaktních údajů uvedených na konci této příbalové informace</w:t>
      </w:r>
      <w:r w:rsidR="006F04C6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nebo prostřednictvím národního systému hlášení nežádoucích účinků: </w:t>
      </w:r>
    </w:p>
    <w:p w14:paraId="56C91AE3" w14:textId="7C196DAC" w:rsidR="006F04C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6915F4F" w14:textId="42025568" w:rsidR="006F04C6" w:rsidRPr="00A240E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1F98B98B" w14:textId="77777777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lastRenderedPageBreak/>
        <w:t>Ústav pro státní kontrolu veterinárních</w:t>
      </w:r>
    </w:p>
    <w:p w14:paraId="4112C224" w14:textId="77777777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biopreparátů a léčiv</w:t>
      </w:r>
    </w:p>
    <w:p w14:paraId="07AEC536" w14:textId="721955F4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Hudcova 232/</w:t>
      </w:r>
      <w:proofErr w:type="gramStart"/>
      <w:r w:rsidRPr="00A240E6">
        <w:rPr>
          <w:rFonts w:ascii="Times New Roman" w:hAnsi="Times New Roman" w:cs="Times New Roman"/>
          <w:sz w:val="22"/>
          <w:szCs w:val="22"/>
          <w:lang w:val="cs-CZ"/>
        </w:rPr>
        <w:t>56a</w:t>
      </w:r>
      <w:proofErr w:type="gramEnd"/>
    </w:p>
    <w:p w14:paraId="56D04BD5" w14:textId="77777777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621 00 Brno</w:t>
      </w:r>
    </w:p>
    <w:p w14:paraId="0FFA1275" w14:textId="51035D50" w:rsidR="00970D42" w:rsidRPr="00A240E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T</w:t>
      </w:r>
      <w:r w:rsidR="00970D42" w:rsidRPr="00A240E6">
        <w:rPr>
          <w:rFonts w:ascii="Times New Roman" w:hAnsi="Times New Roman" w:cs="Times New Roman"/>
          <w:sz w:val="22"/>
          <w:szCs w:val="22"/>
          <w:lang w:val="cs-CZ"/>
        </w:rPr>
        <w:t>el.: +420 720 940 693</w:t>
      </w:r>
    </w:p>
    <w:p w14:paraId="07A2D173" w14:textId="091FA0A8" w:rsidR="00970D42" w:rsidRPr="00A240E6" w:rsidRDefault="006F04C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E-m</w:t>
      </w:r>
      <w:r w:rsidR="00970D42" w:rsidRPr="00A240E6">
        <w:rPr>
          <w:rFonts w:ascii="Times New Roman" w:hAnsi="Times New Roman" w:cs="Times New Roman"/>
          <w:sz w:val="22"/>
          <w:szCs w:val="22"/>
          <w:lang w:val="cs-CZ"/>
        </w:rPr>
        <w:t>ail: adr@uskvbl.cz</w:t>
      </w:r>
    </w:p>
    <w:p w14:paraId="5B3A29A9" w14:textId="2EFCF15E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Webové stránky:</w:t>
      </w:r>
      <w:r w:rsidR="00B0193A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hyperlink r:id="rId11" w:history="1">
        <w:r w:rsidRPr="00A240E6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http://www.uskvbl.cz/cs/farmakovigilance</w:t>
        </w:r>
      </w:hyperlink>
    </w:p>
    <w:p w14:paraId="1E20BBFB" w14:textId="77777777" w:rsidR="00970D42" w:rsidRPr="00A240E6" w:rsidRDefault="00970D4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BC4D670" w14:textId="1D62F14D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8.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Dávkování pro každý druh, cesty a způsob podání</w:t>
      </w:r>
    </w:p>
    <w:p w14:paraId="5B98277B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96351D7" w14:textId="77CFC726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dání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v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e včelím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úlu.</w:t>
      </w:r>
    </w:p>
    <w:p w14:paraId="751E124B" w14:textId="77777777" w:rsidR="00032F92" w:rsidRPr="00A240E6" w:rsidRDefault="00032F9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2478610" w14:textId="7917F523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Každý proužek obsahuje 500 mg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CEEEF4D" w14:textId="27243521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Použijte dva proužky na plodišt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55F2E7F" w14:textId="14378B01" w:rsidR="000D3C01" w:rsidRPr="00A240E6" w:rsidRDefault="000D3C01" w:rsidP="00A240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 úl s jedním plodišt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ěm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: použijte 2 proužky odpovídající 1 g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7F878996" w14:textId="6E57359E" w:rsidR="000D3C01" w:rsidRDefault="000D3C01" w:rsidP="00A240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Pro úl se dvěma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plodišt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ěmi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: použijte 4 proužky odpovídající 2 g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797442FE" w14:textId="77777777" w:rsidR="00032F92" w:rsidRPr="00A240E6" w:rsidRDefault="00032F92" w:rsidP="00A240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DB63C53" w14:textId="7C3B07A0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Proužky jsou vhodné pro různé velikosti rámků díky své přizpůsobitelné délce. Proužek nestříhejte.</w:t>
      </w:r>
    </w:p>
    <w:p w14:paraId="7FA080FA" w14:textId="77777777" w:rsidR="00032F92" w:rsidRPr="00A240E6" w:rsidRDefault="00032F92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335074F" w14:textId="0DA7E2F9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Oddělte dvojité proužky: jemně trhejte shora dolů</w:t>
      </w:r>
      <w:r w:rsidR="00032F92">
        <w:rPr>
          <w:rFonts w:ascii="Times New Roman" w:hAnsi="Times New Roman" w:cs="Times New Roman"/>
          <w:sz w:val="22"/>
          <w:szCs w:val="22"/>
          <w:lang w:val="cs-CZ"/>
        </w:rPr>
        <w:t xml:space="preserve"> tak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, aby nedošlo k poškození závěsného systému.</w:t>
      </w:r>
    </w:p>
    <w:p w14:paraId="44661C4B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Zavěste proužky pomocí závěsného systému nebo přehybové linie podle výšky rámku (viz obrázky).</w:t>
      </w:r>
    </w:p>
    <w:p w14:paraId="1C5844BC" w14:textId="22B0EA68" w:rsidR="000D3C01" w:rsidRPr="00A240E6" w:rsidRDefault="000D3C01" w:rsidP="00A240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Pro rámky ≥ 30 cm: Ohněte </w:t>
      </w:r>
      <w:r w:rsidR="00D46C30">
        <w:rPr>
          <w:rFonts w:ascii="Times New Roman" w:hAnsi="Times New Roman" w:cs="Times New Roman"/>
          <w:sz w:val="22"/>
          <w:szCs w:val="22"/>
          <w:lang w:val="cs-CZ"/>
        </w:rPr>
        <w:t>jazýčky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závěsného systému v opačných směrech a zavěste proužky na rámky.</w:t>
      </w:r>
    </w:p>
    <w:p w14:paraId="0151B1D3" w14:textId="772F91DE" w:rsidR="000D3C01" w:rsidRDefault="000D3C01" w:rsidP="00A240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Pro rámky </w:t>
      </w:r>
      <w:proofErr w:type="gramStart"/>
      <w:r w:rsidRPr="00A240E6">
        <w:rPr>
          <w:rFonts w:ascii="Times New Roman" w:hAnsi="Times New Roman" w:cs="Times New Roman"/>
          <w:sz w:val="22"/>
          <w:szCs w:val="22"/>
          <w:lang w:val="cs-CZ"/>
        </w:rPr>
        <w:t>&lt; 30</w:t>
      </w:r>
      <w:proofErr w:type="gram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cm: Ohněte proužek nad rámkem podél přehybové linie.</w:t>
      </w:r>
    </w:p>
    <w:p w14:paraId="76FBD8F9" w14:textId="77777777" w:rsidR="00A240E6" w:rsidRPr="00A240E6" w:rsidRDefault="00A240E6" w:rsidP="00A240E6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5DC5D8A" w14:textId="21FD6235" w:rsidR="00EF49A3" w:rsidRPr="00A240E6" w:rsidRDefault="00EF49A3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noProof/>
          <w:sz w:val="22"/>
          <w:szCs w:val="22"/>
          <w:lang w:val="cs-CZ"/>
        </w:rPr>
        <w:drawing>
          <wp:inline distT="0" distB="0" distL="0" distR="0" wp14:anchorId="10AD5476" wp14:editId="648DF819">
            <wp:extent cx="5581978" cy="1571625"/>
            <wp:effectExtent l="0" t="0" r="0" b="0"/>
            <wp:docPr id="967969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438" cy="157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AEF48" w14:textId="77777777" w:rsid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61F90BE" w14:textId="36BFB4E1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Zavěste každý proužek mezi dva plástové rámky do plodové oblasti nebo včelího chomáče tak, aby mezi proužky byla minimální vzdálenost 2 rámků.</w:t>
      </w:r>
    </w:p>
    <w:p w14:paraId="74009F7D" w14:textId="17FC8CA2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Umístěte proužky tak, aby včely měly volný přístup k oběma stranám.</w:t>
      </w:r>
    </w:p>
    <w:p w14:paraId="4EABE995" w14:textId="77777777" w:rsidR="007E663E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6F37B3D" w14:textId="342CE4F4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Proužky lze také zavěsit pomocí jednoho ze dvou otvorů (zvoleného podle výšky rámku) s pomocí malého hřebíčku, párátka nebo háčku.</w:t>
      </w:r>
    </w:p>
    <w:p w14:paraId="395826BA" w14:textId="77777777" w:rsidR="007E663E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AD87213" w14:textId="77777777" w:rsidR="007E663E" w:rsidRPr="005503BB" w:rsidRDefault="007E663E" w:rsidP="007E663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10týd</w:t>
      </w:r>
      <w:r>
        <w:rPr>
          <w:rFonts w:ascii="Times New Roman" w:hAnsi="Times New Roman" w:cs="Times New Roman"/>
          <w:sz w:val="22"/>
          <w:szCs w:val="22"/>
          <w:u w:val="single"/>
          <w:lang w:val="cs-CZ"/>
        </w:rPr>
        <w:t>enní doba léčby</w:t>
      </w:r>
    </w:p>
    <w:p w14:paraId="054501CF" w14:textId="1A694BC9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Standardní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doba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léčby je 10 týdnů.</w:t>
      </w:r>
    </w:p>
    <w:p w14:paraId="43631753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Tato délka se doporučuje pro:</w:t>
      </w:r>
    </w:p>
    <w:p w14:paraId="4B829CAD" w14:textId="432A03B4" w:rsidR="000D3C01" w:rsidRPr="00A240E6" w:rsidRDefault="000D3C01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včelstva se střední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m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až vysok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ým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množstvím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plodu na začátku léčby,</w:t>
      </w:r>
    </w:p>
    <w:p w14:paraId="6CC1644C" w14:textId="33EF2241" w:rsidR="000D3C01" w:rsidRPr="00A240E6" w:rsidRDefault="000D3C01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včelstva s přetrvávající přítomností plodu během léčby,</w:t>
      </w:r>
    </w:p>
    <w:p w14:paraId="5231B470" w14:textId="7F687FC6" w:rsidR="000D3C01" w:rsidRPr="00A240E6" w:rsidRDefault="000D3C01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včelstva používající dva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plodištní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nástavky,</w:t>
      </w:r>
    </w:p>
    <w:p w14:paraId="57E41E34" w14:textId="7F7C9084" w:rsidR="000D3C01" w:rsidRDefault="000D3C01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situace, kdy nelze spolehlivě posoudit vývoj plodu.</w:t>
      </w:r>
    </w:p>
    <w:p w14:paraId="68C10C77" w14:textId="77777777" w:rsidR="007E663E" w:rsidRPr="00A240E6" w:rsidRDefault="007E663E" w:rsidP="00791EF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97AD967" w14:textId="77777777" w:rsidR="007E663E" w:rsidRPr="005503BB" w:rsidRDefault="007E663E" w:rsidP="007E663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6týd</w:t>
      </w:r>
      <w:r>
        <w:rPr>
          <w:rFonts w:ascii="Times New Roman" w:hAnsi="Times New Roman" w:cs="Times New Roman"/>
          <w:sz w:val="22"/>
          <w:szCs w:val="22"/>
          <w:u w:val="single"/>
          <w:lang w:val="cs-CZ"/>
        </w:rPr>
        <w:t>enní doba léčby</w:t>
      </w:r>
    </w:p>
    <w:p w14:paraId="51530D52" w14:textId="5FFDE13C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O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 xml:space="preserve">6týdenní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d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obě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léčby lze uvažovat pouze tehdy, jsou-li splněny následující podmínky:</w:t>
      </w:r>
    </w:p>
    <w:p w14:paraId="7A32D44F" w14:textId="60BDF15A" w:rsidR="000D3C01" w:rsidRPr="00A240E6" w:rsidRDefault="007E663E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množství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plodu je na začátku léčby nízk</w:t>
      </w:r>
      <w:r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(přibližně jeden plodový rámek, tj. ≤ 10000 plodových buněk),</w:t>
      </w:r>
    </w:p>
    <w:p w14:paraId="0B07CC85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lastRenderedPageBreak/>
        <w:t>a</w:t>
      </w:r>
    </w:p>
    <w:p w14:paraId="453DBA7F" w14:textId="39AD0DBE" w:rsidR="000D3C01" w:rsidRPr="00A240E6" w:rsidRDefault="000D3C01" w:rsidP="00A240E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ve včelstvu není přítomen žádný plod po 5–6 týdnech od zahájení léčby.</w:t>
      </w:r>
    </w:p>
    <w:p w14:paraId="6C286C1B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Pokud není splněna některá z těchto podmínek, musí proužky zůstat na místě po celou dobu léčby 10 týdnů.</w:t>
      </w:r>
    </w:p>
    <w:p w14:paraId="65C83D12" w14:textId="2E82CAA9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Rozhodnutí o použití délky léčby 6 týdnů je založeno na posouzení vývoje včelstva a dynamiky plodu.</w:t>
      </w:r>
    </w:p>
    <w:p w14:paraId="6AA56FC3" w14:textId="77777777" w:rsidR="007E663E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DDBBFB8" w14:textId="60627871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Pokud jsou proužky v polovině léčby pokryty propolisem a/nebo voskem, je možné je jemně oškrábat pomocí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rozpěráku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. Poté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by měly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být proužky vráceny do úlu a v případě potřeby přemístěny podle výše uvedených pokynů k podání (v případě změn ve včelím chomáči nebo plodové oblasti).</w:t>
      </w:r>
    </w:p>
    <w:p w14:paraId="0F48CF9D" w14:textId="77777777" w:rsidR="007E663E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256CA11" w14:textId="466CE136" w:rsidR="000D3C01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Veterinární léčivý p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řípravek </w:t>
      </w:r>
      <w:r>
        <w:rPr>
          <w:rFonts w:ascii="Times New Roman" w:hAnsi="Times New Roman" w:cs="Times New Roman"/>
          <w:sz w:val="22"/>
          <w:szCs w:val="22"/>
          <w:lang w:val="cs-CZ"/>
        </w:rPr>
        <w:t>by měl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být použit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v době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, kdy jsou včely ještě aktivní, tj. před vytvořením zimního chomáče, jehož přesné načasování se může mezi klimatickými oblastmi lišit.</w:t>
      </w:r>
    </w:p>
    <w:p w14:paraId="5692A7F2" w14:textId="786A1A7B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Doporučená doba léčby je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v období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, kdy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 xml:space="preserve"> nejsou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přítomny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medníky</w:t>
      </w:r>
      <w:proofErr w:type="spellEnd"/>
      <w:r w:rsidR="007E663E">
        <w:rPr>
          <w:rFonts w:ascii="Times New Roman" w:hAnsi="Times New Roman" w:cs="Times New Roman"/>
          <w:sz w:val="22"/>
          <w:szCs w:val="22"/>
          <w:lang w:val="cs-CZ"/>
        </w:rPr>
        <w:t xml:space="preserve"> po posledním medobraní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(pozdní léto/podzim) a před jarní snůšk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5341CA7A" w14:textId="677F4A00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 stanovení nej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vhodněj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ší doby léčby se doporučuje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sledovat míru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napadení.</w:t>
      </w:r>
    </w:p>
    <w:p w14:paraId="1E0199D1" w14:textId="30BD0EC8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Proužky odstraňte před začátkem snůšky.</w:t>
      </w:r>
    </w:p>
    <w:p w14:paraId="5FECDB28" w14:textId="77777777" w:rsidR="007E663E" w:rsidRPr="00A240E6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E76A531" w14:textId="74DF5E01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Potřeba a četnost opakov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ání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léčby v rámci integrované ochrany proti škůdcům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by měla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být založen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na odborném doporučení a </w:t>
      </w:r>
      <w:r w:rsidR="007E663E">
        <w:rPr>
          <w:rFonts w:ascii="Times New Roman" w:hAnsi="Times New Roman" w:cs="Times New Roman"/>
          <w:sz w:val="22"/>
          <w:szCs w:val="22"/>
          <w:lang w:val="cs-CZ"/>
        </w:rPr>
        <w:t>měla by</w:t>
      </w:r>
      <w:r w:rsidR="007E663E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A240E6">
        <w:rPr>
          <w:rFonts w:ascii="Times New Roman" w:hAnsi="Times New Roman" w:cs="Times New Roman"/>
          <w:sz w:val="22"/>
          <w:szCs w:val="22"/>
          <w:lang w:val="cs-CZ"/>
        </w:rPr>
        <w:t>zohledňovat místní epidemiologickou situaci.</w:t>
      </w:r>
    </w:p>
    <w:p w14:paraId="138EE36A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8AC2077" w14:textId="382642E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9.</w:t>
      </w:r>
      <w:r w:rsidR="00361C8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Informace o správném podávání</w:t>
      </w:r>
    </w:p>
    <w:p w14:paraId="2E666300" w14:textId="6BB71633" w:rsidR="000D3C01" w:rsidRPr="00791EFE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791EFE">
        <w:rPr>
          <w:rFonts w:ascii="Times New Roman" w:hAnsi="Times New Roman" w:cs="Times New Roman"/>
          <w:sz w:val="22"/>
          <w:szCs w:val="22"/>
          <w:lang w:val="cs-CZ"/>
        </w:rPr>
        <w:t>/</w:t>
      </w:r>
    </w:p>
    <w:p w14:paraId="69DB814F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8F0D4D0" w14:textId="2EE1592F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10.</w:t>
      </w:r>
      <w:r w:rsidR="00361C8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Ochranné lhůty</w:t>
      </w:r>
    </w:p>
    <w:p w14:paraId="0C46C556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</w:p>
    <w:p w14:paraId="3A20F2EC" w14:textId="4E1AB1D1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Med: </w:t>
      </w:r>
      <w:r w:rsidR="00232FF6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Bez </w:t>
      </w: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ochranných lhůt.</w:t>
      </w:r>
    </w:p>
    <w:p w14:paraId="1D142CE4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Nepoužívat během snůšky.</w:t>
      </w:r>
    </w:p>
    <w:p w14:paraId="2A0AE28C" w14:textId="029341E3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Ne</w:t>
      </w:r>
      <w:r w:rsidR="00342CF3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vytáčejte</w:t>
      </w: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med z </w:t>
      </w:r>
      <w:r w:rsidR="00554E1C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plodišt</w:t>
      </w:r>
      <w:r w:rsidR="00554E1C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ě</w:t>
      </w:r>
      <w:r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.</w:t>
      </w:r>
    </w:p>
    <w:p w14:paraId="7EA1E5C7" w14:textId="2473044C" w:rsidR="000D3C01" w:rsidRPr="00A240E6" w:rsidRDefault="00342CF3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Po dobu, kdy</w:t>
      </w:r>
      <w:r w:rsidR="000E383C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probíhá léčba</w:t>
      </w:r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, neodebírejte </w:t>
      </w:r>
      <w:r w:rsidR="000D3C01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med určený k lidské spotřebě</w:t>
      </w:r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.</w:t>
      </w:r>
    </w:p>
    <w:p w14:paraId="23F90A17" w14:textId="723619E5" w:rsidR="000D3C01" w:rsidRPr="00A240E6" w:rsidRDefault="00342CF3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bookmarkStart w:id="1" w:name="_Hlk236320187"/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Dílo v plodišti obměňujte nejméně jednou za tři roky </w:t>
      </w:r>
      <w:bookmarkEnd w:id="1"/>
      <w:r w:rsidR="000D3C01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novými mezistěnami</w:t>
      </w:r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.</w:t>
      </w:r>
    </w:p>
    <w:p w14:paraId="2404E581" w14:textId="427DE241" w:rsidR="000D3C01" w:rsidRDefault="00342CF3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bookmarkStart w:id="2" w:name="_Hlk236320245"/>
      <w:proofErr w:type="spellStart"/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Plodištní</w:t>
      </w:r>
      <w:proofErr w:type="spellEnd"/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 rámky </w:t>
      </w:r>
      <w:bookmarkEnd w:id="2"/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n</w:t>
      </w:r>
      <w:r w:rsidR="000D3C01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epoužívejte </w:t>
      </w:r>
      <w:r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znovu jako rámky medníkové</w:t>
      </w:r>
      <w:r w:rsidR="000D3C01" w:rsidRPr="00A240E6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.</w:t>
      </w:r>
    </w:p>
    <w:p w14:paraId="1F128000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AE554D6" w14:textId="725DA1F0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11.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opatření pro uchovávání</w:t>
      </w:r>
    </w:p>
    <w:p w14:paraId="5FE45A86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AF480D0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Uchovávejte mimo dohled a dosah dětí.</w:t>
      </w:r>
    </w:p>
    <w:p w14:paraId="10FE9B22" w14:textId="77777777" w:rsidR="000D3C01" w:rsidRPr="001A6A92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Uchovávejte v původním obalu, aby byl chráněn před světlem.</w:t>
      </w:r>
    </w:p>
    <w:p w14:paraId="12922CAA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1A6A92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Uchovávejte obal s proužky dobře uzavřený.</w:t>
      </w:r>
    </w:p>
    <w:p w14:paraId="0CC829E9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Tento veterinární léčivý přípravek nevyžaduje žádné zvláštní teplotní podmínky uchovávání.</w:t>
      </w:r>
    </w:p>
    <w:p w14:paraId="75FC934D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Nepoužívejte tento veterinární léčivý přípravek po uplynutí doby použitelnosti uvedené na etiketě za „Exp.“ Doba použitelnosti končí posledním dnem v uvedeném měsíci.</w:t>
      </w:r>
    </w:p>
    <w:p w14:paraId="75ABF1FF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Doba použitelnosti po prvním otevření vnitřního obalu (sáčku): 1 měsíc.</w:t>
      </w:r>
    </w:p>
    <w:p w14:paraId="28BA7321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06FBBBF" w14:textId="0D1A7B96" w:rsidR="000D3C01" w:rsidRDefault="000D3C01" w:rsidP="005A3100">
      <w:pPr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12.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opatření pro likvidaci</w:t>
      </w:r>
    </w:p>
    <w:p w14:paraId="63B4371F" w14:textId="77777777" w:rsidR="00A240E6" w:rsidRPr="00A240E6" w:rsidRDefault="00A240E6" w:rsidP="005A3100">
      <w:pPr>
        <w:keepNext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9826ED2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Léčivé přípravky se nesmí likvidovat prostřednictvím odpadní vody či domovního odpadu.</w:t>
      </w:r>
    </w:p>
    <w:p w14:paraId="5BE23F5C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Tento veterinární léčivý přípravek nesmí kontaminovat vodní toky, protože </w:t>
      </w:r>
      <w:proofErr w:type="spellStart"/>
      <w:r w:rsidRPr="00A240E6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může být nebezpečný pro ryby a další vodní organismy.</w:t>
      </w:r>
    </w:p>
    <w:p w14:paraId="11A59ACB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Všechen nepoužitý veterinární léčivý přípravek nebo odpad, který pochází z tohoto přípravku, likvidujte odevzdáním v souladu s místními požadavky a platnými národními systémy sběru. Tato opatření napomáhají chránit životní prostředí.</w:t>
      </w:r>
    </w:p>
    <w:p w14:paraId="19302694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O možnostech likvidace nepotřebných léčivých přípravků se poraďte s vaším veterinárním lékařem nebo lékárníkem.</w:t>
      </w:r>
    </w:p>
    <w:p w14:paraId="7E847510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744C485" w14:textId="4C03E5A9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13</w:t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Klasifikace veterinárních léčivých přípravků</w:t>
      </w:r>
    </w:p>
    <w:p w14:paraId="679F4645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B826380" w14:textId="2104DE2C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Veterinární léčivý přípravek je vydáván pouze na předpis. </w:t>
      </w:r>
    </w:p>
    <w:p w14:paraId="2141D79F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4301167" w14:textId="4C8E58C3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14.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Registrační čísla a velikosti balení</w:t>
      </w:r>
    </w:p>
    <w:p w14:paraId="140FD292" w14:textId="2223FACD" w:rsid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9594C69" w14:textId="08BB9AFE" w:rsidR="00312830" w:rsidRDefault="00312830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96/043/</w:t>
      </w:r>
      <w:proofErr w:type="gramStart"/>
      <w:r>
        <w:rPr>
          <w:rFonts w:ascii="Times New Roman" w:hAnsi="Times New Roman" w:cs="Times New Roman"/>
          <w:sz w:val="22"/>
          <w:szCs w:val="22"/>
          <w:lang w:val="cs-CZ"/>
        </w:rPr>
        <w:t>26-C</w:t>
      </w:r>
      <w:proofErr w:type="gramEnd"/>
    </w:p>
    <w:p w14:paraId="2035C111" w14:textId="77777777" w:rsidR="00312830" w:rsidRPr="00A240E6" w:rsidRDefault="00312830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3183F1C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highlight w:val="lightGray"/>
          <w:u w:val="single"/>
          <w:lang w:val="cs-CZ"/>
        </w:rPr>
        <w:t>Registrační číslo</w:t>
      </w:r>
    </w:p>
    <w:p w14:paraId="1439F2D6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Velikosti balení:</w:t>
      </w:r>
    </w:p>
    <w:p w14:paraId="0E25B12B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4 proužky</w:t>
      </w:r>
    </w:p>
    <w:p w14:paraId="570A85A7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10 proužků</w:t>
      </w:r>
    </w:p>
    <w:p w14:paraId="49B63900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12 proužků</w:t>
      </w:r>
    </w:p>
    <w:p w14:paraId="6EB58CF7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60 proužků</w:t>
      </w:r>
    </w:p>
    <w:p w14:paraId="45EDC303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Na trhu nemusí být všechny velikosti balení.</w:t>
      </w:r>
    </w:p>
    <w:p w14:paraId="097ABA2A" w14:textId="77777777" w:rsidR="00884A2C" w:rsidRPr="00A240E6" w:rsidRDefault="00884A2C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D5F177E" w14:textId="0BF01EEA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15.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Datum poslední revize příbalové informace</w:t>
      </w:r>
    </w:p>
    <w:p w14:paraId="503BBE61" w14:textId="77777777" w:rsidR="007E663E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40AB198" w14:textId="22654565" w:rsidR="007E663E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0</w:t>
      </w:r>
      <w:r w:rsidR="00312830">
        <w:rPr>
          <w:rFonts w:ascii="Times New Roman" w:hAnsi="Times New Roman" w:cs="Times New Roman"/>
          <w:sz w:val="22"/>
          <w:szCs w:val="22"/>
          <w:lang w:val="cs-CZ"/>
        </w:rPr>
        <w:t>8</w:t>
      </w:r>
      <w:r>
        <w:rPr>
          <w:rFonts w:ascii="Times New Roman" w:hAnsi="Times New Roman" w:cs="Times New Roman"/>
          <w:sz w:val="22"/>
          <w:szCs w:val="22"/>
          <w:lang w:val="cs-CZ"/>
        </w:rPr>
        <w:t>/2026</w:t>
      </w:r>
    </w:p>
    <w:p w14:paraId="4595F1F8" w14:textId="77777777" w:rsidR="007E663E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415089A" w14:textId="448D69AE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Podrobné informace o tomto veterinárním léčivém přípravku jsou k dispozici v databázi přípravků Unie (</w:t>
      </w:r>
      <w:hyperlink r:id="rId13" w:history="1">
        <w:r w:rsidRPr="00A240E6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https://medicines.health.europa.eu/veterinary</w:t>
        </w:r>
      </w:hyperlink>
      <w:r w:rsidRPr="00A240E6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001C1C3F" w14:textId="51743CCE" w:rsidR="007E663E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34D9336" w14:textId="021567D2" w:rsidR="007E663E" w:rsidRDefault="007E663E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791EFE">
        <w:rPr>
          <w:rFonts w:ascii="Times New Roman" w:eastAsia="Times New Roman" w:hAnsi="Times New Roman" w:cs="Times New Roman"/>
          <w:sz w:val="22"/>
          <w:lang w:val="cs-CZ"/>
        </w:rPr>
        <w:t>Podrobné informace o tomto veterinárním léčivém přípravku naleznete také v národní databázi (</w:t>
      </w:r>
      <w:hyperlink r:id="rId14" w:history="1">
        <w:r w:rsidRPr="00791EFE">
          <w:rPr>
            <w:rStyle w:val="Hypertextovodkaz"/>
            <w:rFonts w:ascii="Times New Roman" w:eastAsia="Times New Roman" w:hAnsi="Times New Roman" w:cs="Times New Roman"/>
            <w:sz w:val="22"/>
            <w:lang w:val="cs-CZ"/>
          </w:rPr>
          <w:t>https://www.uskvbl.cz</w:t>
        </w:r>
      </w:hyperlink>
      <w:r w:rsidRPr="00791EFE">
        <w:rPr>
          <w:rFonts w:ascii="Times New Roman" w:eastAsia="Times New Roman" w:hAnsi="Times New Roman" w:cs="Times New Roman"/>
          <w:sz w:val="22"/>
          <w:lang w:val="cs-CZ"/>
        </w:rPr>
        <w:t>).</w:t>
      </w:r>
    </w:p>
    <w:p w14:paraId="38A4D704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5F7CEE4" w14:textId="15DEA3F8" w:rsidR="000D3C01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16.</w:t>
      </w:r>
      <w:r w:rsidR="00361C89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lang w:val="cs-CZ"/>
        </w:rPr>
        <w:t>Kontaktní údaje</w:t>
      </w:r>
    </w:p>
    <w:p w14:paraId="04B013DA" w14:textId="77777777" w:rsidR="00A240E6" w:rsidRPr="00A240E6" w:rsidRDefault="00A240E6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EC8DD97" w14:textId="0D3E0896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Držitel rozhodnutí o registraci:</w:t>
      </w:r>
    </w:p>
    <w:p w14:paraId="0AE9BEC1" w14:textId="53C8E1D7" w:rsidR="000D3C01" w:rsidRPr="00A240E6" w:rsidRDefault="00BB5A0E" w:rsidP="00A240E6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VETO-PHARMA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 xml:space="preserve">12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rue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de la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Croix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Martre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 xml:space="preserve">91120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Palaiseau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>Francie</w:t>
      </w:r>
    </w:p>
    <w:p w14:paraId="44479DDF" w14:textId="77777777" w:rsidR="000D3C01" w:rsidRPr="00A240E6" w:rsidRDefault="000D3C01" w:rsidP="00A240E6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Výrobce odpovědný za uvolnění šarže:</w:t>
      </w:r>
    </w:p>
    <w:p w14:paraId="0A8050DA" w14:textId="2B880F1A" w:rsidR="000D3C01" w:rsidRPr="00A240E6" w:rsidRDefault="00BB5A0E" w:rsidP="00A240E6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VETO-PHARMA</w:t>
      </w:r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 xml:space="preserve">ZA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Champrue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 xml:space="preserve">36310 </w:t>
      </w:r>
      <w:proofErr w:type="spellStart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t>Chaillac</w:t>
      </w:r>
      <w:proofErr w:type="spellEnd"/>
      <w:r w:rsidR="000D3C01" w:rsidRPr="00A240E6">
        <w:rPr>
          <w:rFonts w:ascii="Times New Roman" w:hAnsi="Times New Roman" w:cs="Times New Roman"/>
          <w:sz w:val="22"/>
          <w:szCs w:val="22"/>
          <w:lang w:val="cs-CZ"/>
        </w:rPr>
        <w:br/>
        <w:t>Francie</w:t>
      </w:r>
    </w:p>
    <w:p w14:paraId="77AA70B1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u w:val="single"/>
          <w:lang w:val="cs-CZ"/>
        </w:rPr>
        <w:t>Místní zástupci a kontaktní údaje pro hlášení podezření na nežádoucí účinky:</w:t>
      </w:r>
    </w:p>
    <w:p w14:paraId="60B22AAA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A240E6">
        <w:rPr>
          <w:rFonts w:ascii="Times New Roman" w:hAnsi="Times New Roman" w:cs="Times New Roman"/>
          <w:sz w:val="22"/>
          <w:szCs w:val="22"/>
          <w:lang w:val="cs-CZ"/>
        </w:rPr>
        <w:t>Pokud chcete získat informace o tomto veterinárním léčivém přípravku, kontaktujte prosím příslušného místního zástupce držitele rozhodnutí o registraci.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5192"/>
      </w:tblGrid>
      <w:tr w:rsidR="000D3C01" w:rsidRPr="00A240E6" w14:paraId="51BCFDF9" w14:textId="77777777" w:rsidTr="00190CD4">
        <w:trPr>
          <w:trHeight w:val="1547"/>
        </w:trPr>
        <w:tc>
          <w:tcPr>
            <w:tcW w:w="3834" w:type="dxa"/>
            <w:vAlign w:val="center"/>
            <w:hideMark/>
          </w:tcPr>
          <w:p w14:paraId="1ADC5A53" w14:textId="77777777" w:rsidR="00190CD4" w:rsidRPr="00A240E6" w:rsidRDefault="00190CD4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M+H VET s.r.o.</w:t>
            </w:r>
          </w:p>
          <w:p w14:paraId="1281EC56" w14:textId="77777777" w:rsidR="00190CD4" w:rsidRPr="00A240E6" w:rsidRDefault="00190CD4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Londýnská 730/59</w:t>
            </w:r>
          </w:p>
          <w:p w14:paraId="1D544BFA" w14:textId="77777777" w:rsidR="00190CD4" w:rsidRPr="00A240E6" w:rsidRDefault="00190CD4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120 00 PRAHA 2</w:t>
            </w:r>
          </w:p>
          <w:p w14:paraId="45F37A28" w14:textId="7F4C8D8C" w:rsidR="00190CD4" w:rsidRPr="00A240E6" w:rsidRDefault="00190CD4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A240E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Tel. 731 616 900</w:t>
            </w:r>
          </w:p>
          <w:p w14:paraId="2891E73D" w14:textId="77777777" w:rsidR="00C42195" w:rsidRPr="00A240E6" w:rsidRDefault="00C42195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  <w:p w14:paraId="2E1B990C" w14:textId="5818151F" w:rsidR="000D3C01" w:rsidRPr="00A240E6" w:rsidRDefault="000D3C01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</w:tc>
        <w:tc>
          <w:tcPr>
            <w:tcW w:w="5192" w:type="dxa"/>
            <w:vAlign w:val="center"/>
            <w:hideMark/>
          </w:tcPr>
          <w:p w14:paraId="73CB1A4D" w14:textId="77550106" w:rsidR="000D3C01" w:rsidRPr="00A240E6" w:rsidRDefault="000D3C01" w:rsidP="00A240E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</w:tc>
      </w:tr>
    </w:tbl>
    <w:p w14:paraId="26AC58D7" w14:textId="194513F9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17.</w:t>
      </w:r>
      <w:r w:rsidR="00361C89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ab/>
      </w:r>
      <w:r w:rsidRPr="00A240E6">
        <w:rPr>
          <w:rFonts w:ascii="Times New Roman" w:hAnsi="Times New Roman" w:cs="Times New Roman"/>
          <w:b/>
          <w:bCs/>
          <w:sz w:val="22"/>
          <w:szCs w:val="22"/>
          <w:highlight w:val="lightGray"/>
          <w:lang w:val="cs-CZ"/>
        </w:rPr>
        <w:t>Další informace</w:t>
      </w:r>
    </w:p>
    <w:p w14:paraId="3CD8EFB8" w14:textId="2E1253FD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FFEFF04" w14:textId="77777777" w:rsidR="000D3C01" w:rsidRPr="00A240E6" w:rsidRDefault="000D3C01" w:rsidP="00A240E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sectPr w:rsidR="000D3C01" w:rsidRPr="00A240E6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2A8E4" w14:textId="77777777" w:rsidR="005F1132" w:rsidRDefault="005F1132" w:rsidP="00D660F5">
      <w:pPr>
        <w:spacing w:after="0" w:line="240" w:lineRule="auto"/>
      </w:pPr>
      <w:r>
        <w:separator/>
      </w:r>
    </w:p>
  </w:endnote>
  <w:endnote w:type="continuationSeparator" w:id="0">
    <w:p w14:paraId="3E4190A3" w14:textId="77777777" w:rsidR="005F1132" w:rsidRDefault="005F1132" w:rsidP="00D6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6300B" w14:textId="475F5B4F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3EBCEB" wp14:editId="41C33DD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773452329" name="Zone de text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F1B8C" w14:textId="79809156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0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EBCE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onfidential" style="position:absolute;margin-left:22.05pt;margin-top:0;width:73.2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" filled="f" stroked="f">
              <v:textbox style="mso-fit-shape-to-text:t" inset="0,0,20pt,15pt">
                <w:txbxContent>
                  <w:p w14:paraId="186F1B8C" w14:textId="79809156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0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54BAF" w14:textId="7AE79CD5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7893B0" wp14:editId="4CDF2D81">
              <wp:simplePos x="914400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785489090" name="Zone de texte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9B8DB" w14:textId="4D030CEA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893B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onfidential" style="position:absolute;margin-left:22.05pt;margin-top:0;width:73.25pt;height:29.1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" filled="f" stroked="f">
              <v:textbox style="mso-fit-shape-to-text:t" inset="0,0,20pt,15pt">
                <w:txbxContent>
                  <w:p w14:paraId="6789B8DB" w14:textId="4D030CEA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564F" w14:textId="2E4A0A09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6FD75B" wp14:editId="4FDA35E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685918081" name="Zone de texte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FAB3C" w14:textId="4BB8E2A1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0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FD75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onfidential" style="position:absolute;margin-left:22.05pt;margin-top:0;width:73.25pt;height:29.1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" filled="f" stroked="f">
              <v:textbox style="mso-fit-shape-to-text:t" inset="0,0,20pt,15pt">
                <w:txbxContent>
                  <w:p w14:paraId="1CDFAB3C" w14:textId="4BB8E2A1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0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E52B9" w14:textId="77777777" w:rsidR="005F1132" w:rsidRDefault="005F1132" w:rsidP="00D660F5">
      <w:pPr>
        <w:spacing w:after="0" w:line="240" w:lineRule="auto"/>
      </w:pPr>
      <w:r>
        <w:separator/>
      </w:r>
    </w:p>
  </w:footnote>
  <w:footnote w:type="continuationSeparator" w:id="0">
    <w:p w14:paraId="354F6C51" w14:textId="77777777" w:rsidR="005F1132" w:rsidRDefault="005F1132" w:rsidP="00D6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DA585" w14:textId="7EBCEDE2" w:rsidR="00D65E99" w:rsidRDefault="00D65E99">
    <w:pPr>
      <w:pStyle w:val="Zhlav"/>
    </w:pPr>
    <w:r w:rsidRPr="00D65E99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619"/>
    <w:multiLevelType w:val="multilevel"/>
    <w:tmpl w:val="0332E75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0B3E"/>
    <w:multiLevelType w:val="multilevel"/>
    <w:tmpl w:val="D166F2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F4186"/>
    <w:multiLevelType w:val="multilevel"/>
    <w:tmpl w:val="8B1411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206C2"/>
    <w:multiLevelType w:val="multilevel"/>
    <w:tmpl w:val="D166F2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72874"/>
    <w:multiLevelType w:val="multilevel"/>
    <w:tmpl w:val="8B1411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1414D"/>
    <w:multiLevelType w:val="multilevel"/>
    <w:tmpl w:val="D5CE01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2EC9"/>
    <w:multiLevelType w:val="hybridMultilevel"/>
    <w:tmpl w:val="025CCB80"/>
    <w:lvl w:ilvl="0" w:tplc="0E2AD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D387C"/>
    <w:multiLevelType w:val="hybridMultilevel"/>
    <w:tmpl w:val="48F2CC0A"/>
    <w:lvl w:ilvl="0" w:tplc="0E2AD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01"/>
    <w:rsid w:val="00032261"/>
    <w:rsid w:val="00032F92"/>
    <w:rsid w:val="00047782"/>
    <w:rsid w:val="000A63CD"/>
    <w:rsid w:val="000D3C01"/>
    <w:rsid w:val="000E383C"/>
    <w:rsid w:val="001243B4"/>
    <w:rsid w:val="00187663"/>
    <w:rsid w:val="00190CD4"/>
    <w:rsid w:val="001A6A92"/>
    <w:rsid w:val="001D132C"/>
    <w:rsid w:val="001E60BA"/>
    <w:rsid w:val="00207C35"/>
    <w:rsid w:val="002166E5"/>
    <w:rsid w:val="00232FF6"/>
    <w:rsid w:val="00275C4E"/>
    <w:rsid w:val="0029209B"/>
    <w:rsid w:val="002F7F19"/>
    <w:rsid w:val="00312830"/>
    <w:rsid w:val="00342CF3"/>
    <w:rsid w:val="00361C89"/>
    <w:rsid w:val="00376488"/>
    <w:rsid w:val="00381AD4"/>
    <w:rsid w:val="00395675"/>
    <w:rsid w:val="004A00C7"/>
    <w:rsid w:val="00530DB8"/>
    <w:rsid w:val="00554E1C"/>
    <w:rsid w:val="005A3100"/>
    <w:rsid w:val="005F1132"/>
    <w:rsid w:val="00634BD2"/>
    <w:rsid w:val="00643941"/>
    <w:rsid w:val="006550B3"/>
    <w:rsid w:val="00686021"/>
    <w:rsid w:val="0069278B"/>
    <w:rsid w:val="006C390E"/>
    <w:rsid w:val="006D1304"/>
    <w:rsid w:val="006F04C6"/>
    <w:rsid w:val="00700F31"/>
    <w:rsid w:val="00791EFE"/>
    <w:rsid w:val="00794675"/>
    <w:rsid w:val="007A41D7"/>
    <w:rsid w:val="007E663E"/>
    <w:rsid w:val="00814C19"/>
    <w:rsid w:val="00822BE0"/>
    <w:rsid w:val="008731AB"/>
    <w:rsid w:val="00877384"/>
    <w:rsid w:val="00884A2C"/>
    <w:rsid w:val="00890D55"/>
    <w:rsid w:val="008D2CDE"/>
    <w:rsid w:val="008E2BFE"/>
    <w:rsid w:val="009044A2"/>
    <w:rsid w:val="00926397"/>
    <w:rsid w:val="00952617"/>
    <w:rsid w:val="00970D42"/>
    <w:rsid w:val="00A10177"/>
    <w:rsid w:val="00A240E6"/>
    <w:rsid w:val="00A63596"/>
    <w:rsid w:val="00AA4602"/>
    <w:rsid w:val="00B0193A"/>
    <w:rsid w:val="00B14CBC"/>
    <w:rsid w:val="00B74DE2"/>
    <w:rsid w:val="00B75A45"/>
    <w:rsid w:val="00BB5A0E"/>
    <w:rsid w:val="00C021A8"/>
    <w:rsid w:val="00C42195"/>
    <w:rsid w:val="00C937AB"/>
    <w:rsid w:val="00C94045"/>
    <w:rsid w:val="00D367B9"/>
    <w:rsid w:val="00D46C30"/>
    <w:rsid w:val="00D47222"/>
    <w:rsid w:val="00D54FE9"/>
    <w:rsid w:val="00D65E99"/>
    <w:rsid w:val="00D660F5"/>
    <w:rsid w:val="00DC7816"/>
    <w:rsid w:val="00DF1276"/>
    <w:rsid w:val="00E36E91"/>
    <w:rsid w:val="00E81D7B"/>
    <w:rsid w:val="00EF49A3"/>
    <w:rsid w:val="00F22C06"/>
    <w:rsid w:val="00F5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220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3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3C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3C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3C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3C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3C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3C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3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3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3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3C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3C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3C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3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3C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3C0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3C0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3C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2FF6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6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60F5"/>
  </w:style>
  <w:style w:type="paragraph" w:styleId="Zhlav">
    <w:name w:val="header"/>
    <w:basedOn w:val="Normln"/>
    <w:link w:val="ZhlavChar"/>
    <w:uiPriority w:val="99"/>
    <w:unhideWhenUsed/>
    <w:rsid w:val="00D6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60F5"/>
  </w:style>
  <w:style w:type="character" w:styleId="Odkaznakoment">
    <w:name w:val="annotation reference"/>
    <w:basedOn w:val="Standardnpsmoodstavce"/>
    <w:uiPriority w:val="99"/>
    <w:semiHidden/>
    <w:unhideWhenUsed/>
    <w:rsid w:val="00B74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4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4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4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4DE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2CA77F-5C92-43D4-ABD7-F4D64CB9DA23}">
  <we:reference id="wa200005502" version="1.0.0.13" store="en-US" storeType="OMEX"/>
  <we:alternateReferences>
    <we:reference id="wa200005502" version="1.0.0.13" store="" storeType="OMEX"/>
  </we:alternateReferences>
  <we:properties>
    <we:property name="docId" value="&quot;GLXu2RCQcs5yfnMzp2iQf&quot;"/>
    <we:property name="data" value="{&quot;version&quot;:9,&quot;queries&quot;:[{&quot;id&quot;:&quot;uI-dpyRRgPJk9Dd2MQ-uB&quot;,&quot;tool&quot;:&quot;chat-html&quot;,&quot;user&quot;:&quot;Translate Hanging system for frames ≥ 30cm Fording line for frames &lt; 30 cm&quot;,&quot;filters&quot;:[],&quot;metrics&quot;:{&quot;systemTokensCount&quot;:[243,243],&quot;promptTokensCount&quot;:[18,18],&quot;contextTokensCount&quot;:[5,5],&quot;historyTokensCount&quot;:[17,17],&quot;totalTokensCount&quot;:[283,283]},&quot;assistant&quot;:&quot;&lt;p&gt;Système d’accrochage pour cadres ≥ 30 cm&lt;br&gt;Cordon pour cadres &amp;lt; 30 cm&lt;/p&gt;&quot;,&quot;chunksCount&quot;:27},{&quot;id&quot;:&quot;Ixibx2puJSaKn3e6rwJjB&quot;,&quot;tool&quot;:&quot;chat-html&quot;,&quot;user&quot;:&quot;Traduire en tcheque&quot;,&quot;filters&quot;:[],&quot;metrics&quot;:{&quot;systemTokensCount&quot;:[243,243],&quot;promptTokensCount&quot;:[7,7],&quot;contextTokensCount&quot;:[5,5],&quot;historyTokensCount&quot;:[70,70],&quot;totalTokensCount&quot;:[325,325]},&quot;assistant&quot;:&quot;&lt;p&gt;&amp;lt; &lt;/p&gt;&quot;,&quot;chunksCount&quot;:7},{&quot;id&quot;:&quot;6lAh-iJXEn7ptGlw-D4L2&quot;,&quot;tool&quot;:&quot;chat-html&quot;,&quot;user&quot;:&quot;Translate to CZECH Translate Hanging system for frames ≥ 30cm Fording line for frames &lt; 30 cm&quot;,&quot;filters&quot;:[],&quot;metrics&quot;:{&quot;systemTokensCount&quot;:[243,243],&quot;promptTokensCount&quot;:[23,23],&quot;contextTokensCount&quot;:[5,5],&quot;historyTokensCount&quot;:[92,92],&quot;totalTokensCount&quot;:[363,363]},&quot;assistant&quot;:&quot;&lt;p&gt;Závěsný systém pro rámy ≥ 30 cm&lt;br&gt;Šňůrka pro rámy &amp;lt; 30 cm&lt;/p&gt;&quot;,&quot;chunksCount&quot;:33}],&quot;_migrations&quot;:{}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F16FD68A0904B8C7D72E401DE617F" ma:contentTypeVersion="17" ma:contentTypeDescription="Create a new document." ma:contentTypeScope="" ma:versionID="ae596d370d249f9faf55f92704f61447">
  <xsd:schema xmlns:xsd="http://www.w3.org/2001/XMLSchema" xmlns:xs="http://www.w3.org/2001/XMLSchema" xmlns:p="http://schemas.microsoft.com/office/2006/metadata/properties" xmlns:ns2="ac0cb2d8-f735-43ae-ae6f-a2541adf6d0e" xmlns:ns3="9d57fc21-99be-4222-a9e1-9c7d032fe3ca" xmlns:ns4="207e5c79-baf1-4d13-841a-0f1c5ebfcd71" targetNamespace="http://schemas.microsoft.com/office/2006/metadata/properties" ma:root="true" ma:fieldsID="11d74d44bf0ed55a74183748b117d5ce" ns2:_="" ns3:_="" ns4:_="">
    <xsd:import namespace="ac0cb2d8-f735-43ae-ae6f-a2541adf6d0e"/>
    <xsd:import namespace="9d57fc21-99be-4222-a9e1-9c7d032fe3ca"/>
    <xsd:import namespace="207e5c79-baf1-4d13-841a-0f1c5ebfc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b2d8-f735-43ae-ae6f-a2541adf6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7f0ad1-e1ca-4e4c-8f37-11d33ab906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fc21-99be-4222-a9e1-9c7d032fe3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9d5d6e-f39d-4eff-9d47-5dcabe3d077b}" ma:internalName="TaxCatchAll" ma:showField="CatchAllData" ma:web="9d57fc21-99be-4222-a9e1-9c7d032fe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e5c79-baf1-4d13-841a-0f1c5ebfc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0cb2d8-f735-43ae-ae6f-a2541adf6d0e">
      <Terms xmlns="http://schemas.microsoft.com/office/infopath/2007/PartnerControls"/>
    </lcf76f155ced4ddcb4097134ff3c332f>
    <TaxCatchAll xmlns="9d57fc21-99be-4222-a9e1-9c7d032fe3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EF0C6-B1CC-488C-A06F-0EC687254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cb2d8-f735-43ae-ae6f-a2541adf6d0e"/>
    <ds:schemaRef ds:uri="9d57fc21-99be-4222-a9e1-9c7d032fe3ca"/>
    <ds:schemaRef ds:uri="207e5c79-baf1-4d13-841a-0f1c5ebfc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CFCE8-B63A-46FC-9BED-6651E6F0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64B0B-CB62-45D0-9F1C-20552FE3B22E}">
  <ds:schemaRefs>
    <ds:schemaRef ds:uri="http://schemas.microsoft.com/office/2006/metadata/properties"/>
    <ds:schemaRef ds:uri="http://schemas.microsoft.com/office/infopath/2007/PartnerControls"/>
    <ds:schemaRef ds:uri="ac0cb2d8-f735-43ae-ae6f-a2541adf6d0e"/>
    <ds:schemaRef ds:uri="9d57fc21-99be-4222-a9e1-9c7d032fe3ca"/>
  </ds:schemaRefs>
</ds:datastoreItem>
</file>

<file path=customXml/itemProps4.xml><?xml version="1.0" encoding="utf-8"?>
<ds:datastoreItem xmlns:ds="http://schemas.openxmlformats.org/officeDocument/2006/customXml" ds:itemID="{861D7BD9-DF21-4095-B9F2-F96EEAE30F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b56643-0c15-476b-8c6e-6ecca9874126}" enabled="1" method="Privileged" siteId="{8bc97f9a-ea86-472e-8ab7-19db58c4c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2026-06-29T09:28:00Z</dcterms:created>
  <dcterms:modified xsi:type="dcterms:W3CDTF">2026-08-12T10:15:00Z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0x0101004E5F16FD68A0904B8C7D72E401DE617F</vt:lpwstr>
  </property>
  <property fmtid="{D5CDD505-2E9C-101B-9397-08002B2CF9AE}" pid="3" name="ClassificationContentMarkingFooterShapeIds">
    <vt:lpwstr>28e24781,2e19f229,2ed19cc2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Confidential</vt:lpwstr>
  </property>
  <property fmtid="{D5CDD505-2E9C-101B-9397-08002B2CF9AE}" pid="6" name="MediaServiceImageTags">
    <vt:lpwstr/>
  </property>
</Properties>
</file>